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0"/>
      </w:tblGrid>
      <w:tr w:rsidR="00F35E21" w14:paraId="37564E5A" w14:textId="77777777" w:rsidTr="00F35E21">
        <w:tc>
          <w:tcPr>
            <w:tcW w:w="12950" w:type="dxa"/>
            <w:shd w:val="clear" w:color="auto" w:fill="45B0E1" w:themeFill="accent1" w:themeFillTint="99"/>
          </w:tcPr>
          <w:p w14:paraId="0D19F19A" w14:textId="77777777" w:rsidR="00F35E21" w:rsidRPr="009F1FB0" w:rsidRDefault="00F35E21" w:rsidP="004444A4">
            <w:pPr>
              <w:pStyle w:val="paragraph"/>
              <w:spacing w:before="0" w:beforeAutospacing="0" w:after="0" w:afterAutospacing="0"/>
              <w:textAlignment w:val="baseline"/>
              <w:rPr>
                <w:rStyle w:val="normaltextrun"/>
                <w:rFonts w:ascii="Arial" w:eastAsiaTheme="majorEastAsia" w:hAnsi="Arial" w:cs="Arial"/>
                <w:b/>
                <w:bCs/>
                <w:color w:val="FFFFFF" w:themeColor="background1"/>
                <w:sz w:val="28"/>
                <w:szCs w:val="28"/>
              </w:rPr>
            </w:pPr>
            <w:r>
              <w:rPr>
                <w:rStyle w:val="normaltextrun"/>
                <w:rFonts w:ascii="Arial" w:eastAsiaTheme="majorEastAsia" w:hAnsi="Arial" w:cs="Arial"/>
                <w:b/>
                <w:bCs/>
                <w:color w:val="FFFFFF" w:themeColor="background1"/>
                <w:sz w:val="28"/>
                <w:szCs w:val="28"/>
              </w:rPr>
              <w:t>1</w:t>
            </w:r>
            <w:r>
              <w:rPr>
                <w:rStyle w:val="normaltextrun"/>
                <w:rFonts w:eastAsiaTheme="majorEastAsia"/>
                <w:b/>
                <w:bCs/>
                <w:color w:val="FFFFFF" w:themeColor="background1"/>
                <w:sz w:val="28"/>
                <w:szCs w:val="28"/>
              </w:rPr>
              <w:t xml:space="preserve">. </w:t>
            </w:r>
            <w:r>
              <w:rPr>
                <w:rStyle w:val="normaltextrun"/>
                <w:rFonts w:ascii="Arial" w:eastAsiaTheme="majorEastAsia" w:hAnsi="Arial" w:cs="Arial"/>
                <w:b/>
                <w:bCs/>
                <w:color w:val="FFFFFF" w:themeColor="background1"/>
                <w:sz w:val="28"/>
                <w:szCs w:val="28"/>
              </w:rPr>
              <w:t xml:space="preserve">Overview </w:t>
            </w:r>
          </w:p>
        </w:tc>
      </w:tr>
    </w:tbl>
    <w:tbl>
      <w:tblPr>
        <w:tblpPr w:leftFromText="180" w:rightFromText="180" w:vertAnchor="text" w:tblpY="1"/>
        <w:tblOverlap w:val="never"/>
        <w:tblW w:w="129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52"/>
      </w:tblGrid>
      <w:tr w:rsidR="00F35E21" w:rsidRPr="0049393B" w14:paraId="76AFE148" w14:textId="77777777" w:rsidTr="009331D8">
        <w:trPr>
          <w:trHeight w:val="435"/>
        </w:trPr>
        <w:tc>
          <w:tcPr>
            <w:tcW w:w="12952" w:type="dxa"/>
            <w:tcBorders>
              <w:top w:val="nil"/>
              <w:left w:val="single" w:sz="6" w:space="0" w:color="auto"/>
              <w:bottom w:val="single" w:sz="4" w:space="0" w:color="auto"/>
              <w:right w:val="single" w:sz="6" w:space="0" w:color="auto"/>
            </w:tcBorders>
            <w:shd w:val="clear" w:color="auto" w:fill="C1E4F5" w:themeFill="accent1" w:themeFillTint="33"/>
            <w:vAlign w:val="center"/>
            <w:hideMark/>
          </w:tcPr>
          <w:p w14:paraId="0508AF63" w14:textId="719D4926" w:rsidR="00F35E21" w:rsidRDefault="00F35E21" w:rsidP="004444A4">
            <w:pPr>
              <w:spacing w:after="0" w:line="240" w:lineRule="auto"/>
              <w:textAlignment w:val="baseline"/>
              <w:rPr>
                <w:rFonts w:ascii="Arial" w:hAnsi="Arial" w:cs="Arial"/>
                <w:b/>
                <w:bCs/>
                <w:sz w:val="20"/>
                <w:szCs w:val="20"/>
              </w:rPr>
            </w:pPr>
            <w:r w:rsidRPr="0010654F">
              <w:rPr>
                <w:rFonts w:ascii="Arial" w:hAnsi="Arial" w:cs="Arial"/>
                <w:b/>
                <w:bCs/>
                <w:sz w:val="20"/>
                <w:szCs w:val="20"/>
              </w:rPr>
              <w:t xml:space="preserve">The purpose of this document is to </w:t>
            </w:r>
            <w:r>
              <w:rPr>
                <w:rFonts w:ascii="Arial" w:hAnsi="Arial" w:cs="Arial"/>
                <w:b/>
                <w:bCs/>
                <w:sz w:val="20"/>
                <w:szCs w:val="20"/>
              </w:rPr>
              <w:t xml:space="preserve">assist the Office of Superintendent of Insurance (OSI) in </w:t>
            </w:r>
            <w:r w:rsidRPr="0010654F">
              <w:rPr>
                <w:rFonts w:ascii="Arial" w:hAnsi="Arial" w:cs="Arial"/>
                <w:b/>
                <w:bCs/>
                <w:sz w:val="20"/>
                <w:szCs w:val="20"/>
              </w:rPr>
              <w:t>review</w:t>
            </w:r>
            <w:r>
              <w:rPr>
                <w:rFonts w:ascii="Arial" w:hAnsi="Arial" w:cs="Arial"/>
                <w:b/>
                <w:bCs/>
                <w:sz w:val="20"/>
                <w:szCs w:val="20"/>
              </w:rPr>
              <w:t>ing</w:t>
            </w:r>
            <w:r w:rsidRPr="0010654F">
              <w:rPr>
                <w:rFonts w:ascii="Arial" w:hAnsi="Arial" w:cs="Arial"/>
                <w:b/>
                <w:bCs/>
                <w:sz w:val="20"/>
                <w:szCs w:val="20"/>
              </w:rPr>
              <w:t xml:space="preserve"> </w:t>
            </w:r>
            <w:r>
              <w:rPr>
                <w:rFonts w:ascii="Arial" w:hAnsi="Arial" w:cs="Arial"/>
                <w:b/>
                <w:bCs/>
                <w:sz w:val="20"/>
                <w:szCs w:val="20"/>
              </w:rPr>
              <w:t xml:space="preserve">MH/SUD </w:t>
            </w:r>
            <w:proofErr w:type="gramStart"/>
            <w:r>
              <w:rPr>
                <w:rFonts w:ascii="Arial" w:hAnsi="Arial" w:cs="Arial"/>
                <w:b/>
                <w:bCs/>
                <w:sz w:val="20"/>
                <w:szCs w:val="20"/>
              </w:rPr>
              <w:t>parity</w:t>
            </w:r>
            <w:proofErr w:type="gramEnd"/>
            <w:r>
              <w:rPr>
                <w:rFonts w:ascii="Arial" w:hAnsi="Arial" w:cs="Arial"/>
                <w:b/>
                <w:bCs/>
                <w:sz w:val="20"/>
                <w:szCs w:val="20"/>
              </w:rPr>
              <w:t xml:space="preserve"> with regards to</w:t>
            </w:r>
            <w:r w:rsidR="003F6AF5">
              <w:rPr>
                <w:rFonts w:ascii="Arial" w:hAnsi="Arial" w:cs="Arial"/>
                <w:b/>
                <w:bCs/>
                <w:sz w:val="20"/>
                <w:szCs w:val="20"/>
              </w:rPr>
              <w:t xml:space="preserve"> claims and utilization management (UM),</w:t>
            </w:r>
            <w:r>
              <w:rPr>
                <w:rFonts w:ascii="Arial" w:hAnsi="Arial" w:cs="Arial"/>
                <w:b/>
                <w:bCs/>
                <w:sz w:val="20"/>
                <w:szCs w:val="20"/>
              </w:rPr>
              <w:t xml:space="preserve"> </w:t>
            </w:r>
            <w:r w:rsidRPr="0010654F">
              <w:rPr>
                <w:rFonts w:ascii="Arial" w:hAnsi="Arial" w:cs="Arial"/>
                <w:b/>
                <w:bCs/>
                <w:sz w:val="20"/>
                <w:szCs w:val="20"/>
              </w:rPr>
              <w:t>pursuant to the</w:t>
            </w:r>
            <w:r>
              <w:rPr>
                <w:rFonts w:ascii="Arial" w:hAnsi="Arial" w:cs="Arial"/>
                <w:b/>
                <w:bCs/>
                <w:sz w:val="20"/>
                <w:szCs w:val="20"/>
              </w:rPr>
              <w:t xml:space="preserve"> following: </w:t>
            </w:r>
          </w:p>
          <w:p w14:paraId="393D1087" w14:textId="77777777" w:rsidR="00F35E21" w:rsidRPr="005B77F4" w:rsidRDefault="00F35E21" w:rsidP="004444A4">
            <w:pPr>
              <w:spacing w:after="0" w:line="240" w:lineRule="auto"/>
              <w:textAlignment w:val="baseline"/>
              <w:rPr>
                <w:rFonts w:ascii="Segoe UI" w:eastAsia="Times New Roman" w:hAnsi="Segoe UI" w:cs="Segoe UI"/>
                <w:b/>
                <w:bCs/>
                <w:color w:val="000000"/>
                <w:kern w:val="0"/>
                <w:sz w:val="10"/>
                <w:szCs w:val="10"/>
                <w14:ligatures w14:val="none"/>
              </w:rPr>
            </w:pPr>
          </w:p>
        </w:tc>
      </w:tr>
      <w:tr w:rsidR="00F35E21" w:rsidRPr="0049393B" w14:paraId="234457F8" w14:textId="77777777" w:rsidTr="00875BA5">
        <w:trPr>
          <w:trHeight w:val="2048"/>
        </w:trPr>
        <w:tc>
          <w:tcPr>
            <w:tcW w:w="12952" w:type="dxa"/>
            <w:tcBorders>
              <w:top w:val="single" w:sz="4" w:space="0" w:color="auto"/>
              <w:left w:val="single" w:sz="6" w:space="0" w:color="auto"/>
              <w:bottom w:val="single" w:sz="4" w:space="0" w:color="auto"/>
              <w:right w:val="single" w:sz="6" w:space="0" w:color="auto"/>
            </w:tcBorders>
            <w:shd w:val="clear" w:color="auto" w:fill="C1E4F5" w:themeFill="accent1" w:themeFillTint="33"/>
            <w:vAlign w:val="center"/>
          </w:tcPr>
          <w:p w14:paraId="546289FB" w14:textId="77777777" w:rsidR="00F35E21" w:rsidRPr="00407CA1" w:rsidRDefault="00F35E21" w:rsidP="004444A4">
            <w:pPr>
              <w:pStyle w:val="ListParagraph"/>
              <w:spacing w:after="0"/>
              <w:ind w:left="0"/>
              <w:rPr>
                <w:rFonts w:ascii="Arial" w:hAnsi="Arial" w:cs="Arial"/>
                <w:b/>
                <w:bCs/>
                <w:sz w:val="10"/>
                <w:szCs w:val="10"/>
              </w:rPr>
            </w:pPr>
          </w:p>
          <w:p w14:paraId="29962BCB" w14:textId="59B7F406" w:rsidR="00F71349" w:rsidRPr="00F71349" w:rsidRDefault="00F35E21" w:rsidP="00F71349">
            <w:pPr>
              <w:pStyle w:val="ListParagraph"/>
              <w:spacing w:after="0"/>
              <w:ind w:left="0"/>
              <w:rPr>
                <w:rFonts w:ascii="Arial" w:hAnsi="Arial" w:cs="Arial"/>
                <w:b/>
                <w:bCs/>
                <w:sz w:val="20"/>
                <w:szCs w:val="20"/>
              </w:rPr>
            </w:pPr>
            <w:r w:rsidRPr="00F71349">
              <w:rPr>
                <w:rFonts w:ascii="Arial" w:hAnsi="Arial" w:cs="Arial"/>
                <w:b/>
                <w:bCs/>
                <w:sz w:val="20"/>
                <w:szCs w:val="20"/>
              </w:rPr>
              <w:t>New Mexico Insurance Code, NMSA 1978, Sections</w:t>
            </w:r>
            <w:r w:rsidR="005C53CE" w:rsidRPr="00F71349">
              <w:rPr>
                <w:rFonts w:ascii="Arial" w:hAnsi="Arial" w:cs="Arial"/>
                <w:b/>
                <w:bCs/>
                <w:sz w:val="20"/>
                <w:szCs w:val="20"/>
              </w:rPr>
              <w:t xml:space="preserve"> 59A-23-24</w:t>
            </w:r>
            <w:r w:rsidR="00E25647">
              <w:rPr>
                <w:rFonts w:ascii="Arial" w:hAnsi="Arial" w:cs="Arial"/>
                <w:b/>
                <w:bCs/>
                <w:sz w:val="20"/>
                <w:szCs w:val="20"/>
              </w:rPr>
              <w:t>,</w:t>
            </w:r>
            <w:r w:rsidR="005C53CE" w:rsidRPr="00F71349">
              <w:rPr>
                <w:rFonts w:ascii="Arial" w:hAnsi="Arial" w:cs="Arial"/>
                <w:b/>
                <w:bCs/>
                <w:sz w:val="20"/>
                <w:szCs w:val="20"/>
              </w:rPr>
              <w:t xml:space="preserve"> 59A-46-63</w:t>
            </w:r>
            <w:r w:rsidR="00E25647">
              <w:rPr>
                <w:rFonts w:ascii="Arial" w:hAnsi="Arial" w:cs="Arial"/>
                <w:b/>
                <w:bCs/>
                <w:sz w:val="20"/>
                <w:szCs w:val="20"/>
              </w:rPr>
              <w:t>,</w:t>
            </w:r>
            <w:r w:rsidR="005C53CE" w:rsidRPr="00F71349">
              <w:rPr>
                <w:rFonts w:ascii="Arial" w:hAnsi="Arial" w:cs="Arial"/>
                <w:b/>
                <w:bCs/>
                <w:sz w:val="20"/>
                <w:szCs w:val="20"/>
              </w:rPr>
              <w:t xml:space="preserve"> </w:t>
            </w:r>
            <w:r w:rsidR="00E25647">
              <w:rPr>
                <w:rFonts w:ascii="Arial" w:hAnsi="Arial" w:cs="Arial"/>
                <w:b/>
                <w:bCs/>
                <w:sz w:val="20"/>
                <w:szCs w:val="20"/>
              </w:rPr>
              <w:t xml:space="preserve">and </w:t>
            </w:r>
            <w:r w:rsidR="005C53CE" w:rsidRPr="00F71349">
              <w:rPr>
                <w:rFonts w:ascii="Arial" w:hAnsi="Arial" w:cs="Arial"/>
                <w:b/>
                <w:bCs/>
                <w:sz w:val="20"/>
                <w:szCs w:val="20"/>
              </w:rPr>
              <w:t>59A-47-58</w:t>
            </w:r>
            <w:r w:rsidRPr="00F71349">
              <w:rPr>
                <w:rFonts w:ascii="Arial" w:hAnsi="Arial" w:cs="Arial"/>
                <w:b/>
                <w:bCs/>
                <w:sz w:val="20"/>
                <w:szCs w:val="20"/>
              </w:rPr>
              <w:t>, listed below which state:</w:t>
            </w:r>
          </w:p>
          <w:p w14:paraId="6AFFCF9E" w14:textId="34BBF441" w:rsidR="00F71349" w:rsidRPr="00F71349" w:rsidRDefault="00F71349" w:rsidP="00F71349">
            <w:pPr>
              <w:pStyle w:val="ListParagraph"/>
              <w:spacing w:after="0"/>
              <w:ind w:left="0"/>
              <w:rPr>
                <w:rFonts w:ascii="Arial" w:hAnsi="Arial" w:cs="Arial"/>
                <w:b/>
                <w:bCs/>
                <w:sz w:val="20"/>
                <w:szCs w:val="20"/>
              </w:rPr>
            </w:pPr>
            <w:r w:rsidRPr="00F71349">
              <w:rPr>
                <w:rFonts w:ascii="Arial" w:hAnsi="Arial" w:cs="Arial"/>
                <w:sz w:val="20"/>
                <w:szCs w:val="20"/>
              </w:rPr>
              <w:t>An Insurer/carrier/plan cannot:</w:t>
            </w:r>
          </w:p>
          <w:p w14:paraId="72CCC4CD" w14:textId="77777777" w:rsidR="00F71349" w:rsidRPr="00F71349" w:rsidRDefault="00F71349" w:rsidP="00F71349">
            <w:pPr>
              <w:pStyle w:val="ListParagraph"/>
              <w:numPr>
                <w:ilvl w:val="0"/>
                <w:numId w:val="19"/>
              </w:numPr>
              <w:spacing w:after="0"/>
              <w:rPr>
                <w:rFonts w:ascii="Arial" w:hAnsi="Arial" w:cs="Arial"/>
                <w:sz w:val="20"/>
                <w:szCs w:val="20"/>
              </w:rPr>
            </w:pPr>
            <w:r w:rsidRPr="00F71349">
              <w:rPr>
                <w:rFonts w:ascii="Arial" w:hAnsi="Arial" w:cs="Arial"/>
                <w:sz w:val="20"/>
                <w:szCs w:val="20"/>
              </w:rPr>
              <w:t xml:space="preserve">impose quantitative treatment limitations, financial restrictions, limitations or requirements on the provision of mental health or SUD services that are more restrictive than the predominant restrictions, limitations or requirements that are imposed on substantially </w:t>
            </w:r>
            <w:proofErr w:type="gramStart"/>
            <w:r w:rsidRPr="00F71349">
              <w:rPr>
                <w:rFonts w:ascii="Arial" w:hAnsi="Arial" w:cs="Arial"/>
                <w:sz w:val="20"/>
                <w:szCs w:val="20"/>
              </w:rPr>
              <w:t>all of</w:t>
            </w:r>
            <w:proofErr w:type="gramEnd"/>
            <w:r w:rsidRPr="00F71349">
              <w:rPr>
                <w:rFonts w:ascii="Arial" w:hAnsi="Arial" w:cs="Arial"/>
                <w:sz w:val="20"/>
                <w:szCs w:val="20"/>
              </w:rPr>
              <w:t xml:space="preserve"> the </w:t>
            </w:r>
            <w:proofErr w:type="gramStart"/>
            <w:r w:rsidRPr="00F71349">
              <w:rPr>
                <w:rFonts w:ascii="Arial" w:hAnsi="Arial" w:cs="Arial"/>
                <w:sz w:val="20"/>
                <w:szCs w:val="20"/>
              </w:rPr>
              <w:t>coverage of benefits</w:t>
            </w:r>
            <w:proofErr w:type="gramEnd"/>
            <w:r w:rsidRPr="00F71349">
              <w:rPr>
                <w:rFonts w:ascii="Arial" w:hAnsi="Arial" w:cs="Arial"/>
                <w:sz w:val="20"/>
                <w:szCs w:val="20"/>
              </w:rPr>
              <w:t xml:space="preserve"> for other </w:t>
            </w:r>
            <w:proofErr w:type="gramStart"/>
            <w:r w:rsidRPr="00F71349">
              <w:rPr>
                <w:rFonts w:ascii="Arial" w:hAnsi="Arial" w:cs="Arial"/>
                <w:sz w:val="20"/>
                <w:szCs w:val="20"/>
              </w:rPr>
              <w:t>conditions;</w:t>
            </w:r>
            <w:proofErr w:type="gramEnd"/>
          </w:p>
          <w:p w14:paraId="59BEAC69" w14:textId="77777777" w:rsidR="00F71349" w:rsidRDefault="00F71349" w:rsidP="00F71349">
            <w:pPr>
              <w:pStyle w:val="ListParagraph"/>
              <w:numPr>
                <w:ilvl w:val="0"/>
                <w:numId w:val="19"/>
              </w:numPr>
              <w:spacing w:after="0"/>
              <w:rPr>
                <w:rFonts w:ascii="Arial" w:hAnsi="Arial" w:cs="Arial"/>
                <w:sz w:val="20"/>
                <w:szCs w:val="20"/>
              </w:rPr>
            </w:pPr>
            <w:r w:rsidRPr="00F71349">
              <w:rPr>
                <w:rFonts w:ascii="Arial" w:hAnsi="Arial" w:cs="Arial"/>
                <w:sz w:val="20"/>
                <w:szCs w:val="20"/>
              </w:rPr>
              <w:t>impose non-quantitative treatment limitations for the treatment of mental health or SUDs or conditions unless factors (including the processes, strategies or evidentiary standards used in applying the non-quantitative treatment limitation) as written and in operation and are comparable to and are applied no more restrictively than the factors used in applying the limitation with respect to medical or surgical benefits in the classification.</w:t>
            </w:r>
          </w:p>
          <w:p w14:paraId="342C51A1" w14:textId="683DC40D" w:rsidR="009529B7" w:rsidRPr="00F71349" w:rsidRDefault="009529B7" w:rsidP="009529B7">
            <w:pPr>
              <w:pStyle w:val="ListParagraph"/>
              <w:spacing w:after="0"/>
              <w:ind w:left="360"/>
              <w:rPr>
                <w:rFonts w:ascii="Arial" w:hAnsi="Arial" w:cs="Arial"/>
                <w:sz w:val="20"/>
                <w:szCs w:val="20"/>
              </w:rPr>
            </w:pPr>
          </w:p>
        </w:tc>
      </w:tr>
      <w:tr w:rsidR="00F35E21" w:rsidRPr="0049393B" w14:paraId="0703252C" w14:textId="77777777" w:rsidTr="009331D8">
        <w:trPr>
          <w:trHeight w:val="968"/>
        </w:trPr>
        <w:tc>
          <w:tcPr>
            <w:tcW w:w="12952" w:type="dxa"/>
            <w:tcBorders>
              <w:top w:val="single" w:sz="4" w:space="0" w:color="auto"/>
              <w:left w:val="single" w:sz="6" w:space="0" w:color="auto"/>
              <w:right w:val="single" w:sz="6" w:space="0" w:color="auto"/>
            </w:tcBorders>
            <w:shd w:val="clear" w:color="auto" w:fill="C1E4F5" w:themeFill="accent1" w:themeFillTint="33"/>
            <w:vAlign w:val="center"/>
          </w:tcPr>
          <w:p w14:paraId="0FEF8DB4" w14:textId="77777777" w:rsidR="00F35E21" w:rsidRPr="00EC3ED7" w:rsidRDefault="00F35E21" w:rsidP="004444A4">
            <w:pPr>
              <w:pStyle w:val="ListParagraph"/>
              <w:spacing w:after="0"/>
              <w:ind w:left="0"/>
              <w:rPr>
                <w:rFonts w:ascii="Arial" w:hAnsi="Arial" w:cs="Arial"/>
                <w:sz w:val="10"/>
                <w:szCs w:val="10"/>
              </w:rPr>
            </w:pPr>
          </w:p>
          <w:p w14:paraId="741BE63D" w14:textId="77777777" w:rsidR="00F35E21" w:rsidRPr="00EC3ED7" w:rsidRDefault="00F35E21" w:rsidP="004444A4">
            <w:pPr>
              <w:pStyle w:val="ListParagraph"/>
              <w:spacing w:after="0"/>
              <w:ind w:left="0"/>
              <w:rPr>
                <w:rFonts w:ascii="Arial" w:hAnsi="Arial" w:cs="Arial"/>
                <w:b/>
                <w:bCs/>
                <w:sz w:val="20"/>
                <w:szCs w:val="20"/>
              </w:rPr>
            </w:pPr>
            <w:r w:rsidRPr="00EC3ED7">
              <w:rPr>
                <w:rFonts w:ascii="Arial" w:hAnsi="Arial" w:cs="Arial"/>
                <w:b/>
                <w:bCs/>
                <w:sz w:val="20"/>
                <w:szCs w:val="20"/>
              </w:rPr>
              <w:t>45 CFR 146.136 (c)(4): Nonquantitative treatment limitations</w:t>
            </w:r>
            <w:r>
              <w:rPr>
                <w:rFonts w:ascii="Arial" w:hAnsi="Arial" w:cs="Arial"/>
                <w:b/>
                <w:bCs/>
                <w:sz w:val="20"/>
                <w:szCs w:val="20"/>
              </w:rPr>
              <w:t xml:space="preserve"> (NQTL)s</w:t>
            </w:r>
            <w:r w:rsidRPr="00EC3ED7">
              <w:rPr>
                <w:rFonts w:ascii="Arial" w:hAnsi="Arial" w:cs="Arial"/>
                <w:b/>
                <w:bCs/>
                <w:sz w:val="20"/>
                <w:szCs w:val="20"/>
              </w:rPr>
              <w:t>, listed below w</w:t>
            </w:r>
            <w:r>
              <w:rPr>
                <w:rFonts w:ascii="Arial" w:hAnsi="Arial" w:cs="Arial"/>
                <w:b/>
                <w:bCs/>
                <w:sz w:val="20"/>
                <w:szCs w:val="20"/>
              </w:rPr>
              <w:t>hich</w:t>
            </w:r>
            <w:r w:rsidRPr="00EC3ED7">
              <w:rPr>
                <w:rFonts w:ascii="Arial" w:hAnsi="Arial" w:cs="Arial"/>
                <w:b/>
                <w:bCs/>
                <w:sz w:val="20"/>
                <w:szCs w:val="20"/>
              </w:rPr>
              <w:t xml:space="preserve"> states: </w:t>
            </w:r>
          </w:p>
          <w:p w14:paraId="193CBC50" w14:textId="77777777" w:rsidR="00F35E21" w:rsidRDefault="00F35E21" w:rsidP="00027967">
            <w:pPr>
              <w:pStyle w:val="ListParagraph"/>
              <w:spacing w:after="0"/>
              <w:ind w:left="0"/>
              <w:rPr>
                <w:rFonts w:ascii="Arial" w:hAnsi="Arial" w:cs="Arial"/>
                <w:sz w:val="20"/>
                <w:szCs w:val="20"/>
              </w:rPr>
            </w:pPr>
            <w:r w:rsidRPr="00BF3D25">
              <w:rPr>
                <w:rFonts w:ascii="Arial" w:hAnsi="Arial" w:cs="Arial"/>
                <w:sz w:val="20"/>
                <w:szCs w:val="20"/>
              </w:rPr>
              <w:t>Consistent with paragraph (a)(1) of this section, a group health plan (or health insurance coverage offered by an issuer in connection with a group health plan) may not impose any nonquantitative treatment limitation with respect to mental health or substance use disorder benefits in any classification that is more restrictive, as written or in operation, than the predominant nonquantitative treatment limitation that applies to substantially all medical/surgical benefits in the same classification.</w:t>
            </w:r>
          </w:p>
          <w:p w14:paraId="3F7F0582" w14:textId="02E92A44" w:rsidR="009529B7" w:rsidRPr="00027967" w:rsidRDefault="009529B7" w:rsidP="00027967">
            <w:pPr>
              <w:pStyle w:val="ListParagraph"/>
              <w:spacing w:after="0"/>
              <w:ind w:left="0"/>
              <w:rPr>
                <w:rFonts w:ascii="Arial" w:hAnsi="Arial" w:cs="Arial"/>
                <w:sz w:val="20"/>
                <w:szCs w:val="20"/>
              </w:rPr>
            </w:pPr>
          </w:p>
        </w:tc>
      </w:tr>
    </w:tbl>
    <w:p w14:paraId="1EB5AD67" w14:textId="77777777" w:rsidR="00F35E21" w:rsidRDefault="00F35E21" w:rsidP="00F35E21">
      <w:pPr>
        <w:pStyle w:val="paragraph"/>
        <w:spacing w:before="0" w:beforeAutospacing="0" w:after="0" w:afterAutospacing="0"/>
        <w:textAlignment w:val="baseline"/>
        <w:rPr>
          <w:rStyle w:val="normaltextrun"/>
          <w:rFonts w:ascii="Arial" w:eastAsiaTheme="majorEastAsia" w:hAnsi="Arial" w:cs="Arial"/>
          <w:b/>
          <w:bCs/>
          <w:sz w:val="22"/>
          <w:szCs w:val="22"/>
        </w:rPr>
      </w:pPr>
    </w:p>
    <w:p w14:paraId="3ACA0689" w14:textId="6C0C02D3" w:rsidR="00F35E21" w:rsidRDefault="00F35E21" w:rsidP="00F35E21">
      <w:pPr>
        <w:spacing w:line="240" w:lineRule="auto"/>
        <w:rPr>
          <w:rStyle w:val="normaltextrun"/>
          <w:rFonts w:ascii="Arial" w:eastAsiaTheme="majorEastAsia" w:hAnsi="Arial" w:cs="Arial"/>
        </w:rPr>
      </w:pPr>
      <w:r w:rsidRPr="004F2955">
        <w:rPr>
          <w:rStyle w:val="normaltextrun"/>
          <w:rFonts w:ascii="Arial" w:eastAsiaTheme="majorEastAsia" w:hAnsi="Arial" w:cs="Arial"/>
        </w:rPr>
        <w:t>Th</w:t>
      </w:r>
      <w:r>
        <w:rPr>
          <w:rStyle w:val="normaltextrun"/>
          <w:rFonts w:ascii="Arial" w:eastAsiaTheme="majorEastAsia" w:hAnsi="Arial" w:cs="Arial"/>
        </w:rPr>
        <w:t xml:space="preserve">is </w:t>
      </w:r>
      <w:r w:rsidRPr="004F2955">
        <w:rPr>
          <w:rStyle w:val="normaltextrun"/>
          <w:rFonts w:ascii="Arial" w:eastAsiaTheme="majorEastAsia" w:hAnsi="Arial" w:cs="Arial"/>
        </w:rPr>
        <w:t>202</w:t>
      </w:r>
      <w:r>
        <w:rPr>
          <w:rStyle w:val="normaltextrun"/>
          <w:rFonts w:ascii="Arial" w:eastAsiaTheme="majorEastAsia" w:hAnsi="Arial" w:cs="Arial"/>
        </w:rPr>
        <w:t>6</w:t>
      </w:r>
      <w:r w:rsidRPr="004F2955">
        <w:rPr>
          <w:rStyle w:val="normaltextrun"/>
          <w:rFonts w:ascii="Arial" w:eastAsiaTheme="majorEastAsia" w:hAnsi="Arial" w:cs="Arial"/>
        </w:rPr>
        <w:t xml:space="preserve"> </w:t>
      </w:r>
      <w:r w:rsidRPr="004F2955">
        <w:rPr>
          <w:rStyle w:val="normaltextrun"/>
          <w:rFonts w:ascii="Arial" w:eastAsiaTheme="majorEastAsia" w:hAnsi="Arial" w:cs="Arial"/>
          <w:b/>
          <w:bCs/>
        </w:rPr>
        <w:t>“</w:t>
      </w:r>
      <w:r w:rsidR="00A22DA5">
        <w:rPr>
          <w:rStyle w:val="normaltextrun"/>
          <w:rFonts w:ascii="Arial" w:eastAsiaTheme="majorEastAsia" w:hAnsi="Arial" w:cs="Arial"/>
          <w:b/>
          <w:bCs/>
        </w:rPr>
        <w:t>Claims and Utilization Man</w:t>
      </w:r>
      <w:r w:rsidR="00D62F34">
        <w:rPr>
          <w:rStyle w:val="normaltextrun"/>
          <w:rFonts w:ascii="Arial" w:eastAsiaTheme="majorEastAsia" w:hAnsi="Arial" w:cs="Arial"/>
          <w:b/>
          <w:bCs/>
        </w:rPr>
        <w:t>a</w:t>
      </w:r>
      <w:r w:rsidR="00A22DA5">
        <w:rPr>
          <w:rStyle w:val="normaltextrun"/>
          <w:rFonts w:ascii="Arial" w:eastAsiaTheme="majorEastAsia" w:hAnsi="Arial" w:cs="Arial"/>
          <w:b/>
          <w:bCs/>
        </w:rPr>
        <w:t>gement</w:t>
      </w:r>
      <w:r>
        <w:rPr>
          <w:rFonts w:ascii="Arial" w:hAnsi="Arial" w:cs="Arial"/>
          <w:b/>
          <w:bCs/>
          <w:sz w:val="24"/>
          <w:szCs w:val="24"/>
        </w:rPr>
        <w:t xml:space="preserve"> </w:t>
      </w:r>
      <w:r>
        <w:rPr>
          <w:rStyle w:val="normaltextrun"/>
          <w:rFonts w:ascii="Arial" w:eastAsiaTheme="majorEastAsia" w:hAnsi="Arial" w:cs="Arial"/>
          <w:b/>
          <w:bCs/>
        </w:rPr>
        <w:t>Coversheet for Raw Data File Layouts</w:t>
      </w:r>
      <w:r w:rsidRPr="004F2955">
        <w:rPr>
          <w:rStyle w:val="normaltextrun"/>
          <w:rFonts w:ascii="Arial" w:eastAsiaTheme="majorEastAsia" w:hAnsi="Arial" w:cs="Arial"/>
          <w:b/>
          <w:bCs/>
        </w:rPr>
        <w:t>”</w:t>
      </w:r>
      <w:r w:rsidRPr="004F2955">
        <w:rPr>
          <w:rStyle w:val="normaltextrun"/>
          <w:rFonts w:ascii="Arial" w:eastAsiaTheme="majorEastAsia" w:hAnsi="Arial" w:cs="Arial"/>
        </w:rPr>
        <w:t xml:space="preserve"> </w:t>
      </w:r>
      <w:r>
        <w:rPr>
          <w:rStyle w:val="normaltextrun"/>
          <w:rFonts w:ascii="Arial" w:eastAsiaTheme="majorEastAsia" w:hAnsi="Arial" w:cs="Arial"/>
        </w:rPr>
        <w:t xml:space="preserve">(Coversheet) </w:t>
      </w:r>
      <w:r w:rsidRPr="004F2955">
        <w:rPr>
          <w:rStyle w:val="normaltextrun"/>
          <w:rFonts w:ascii="Arial" w:eastAsiaTheme="majorEastAsia" w:hAnsi="Arial" w:cs="Arial"/>
        </w:rPr>
        <w:t>is a required document</w:t>
      </w:r>
      <w:r>
        <w:rPr>
          <w:rStyle w:val="normaltextrun"/>
          <w:rFonts w:ascii="Arial" w:eastAsiaTheme="majorEastAsia" w:hAnsi="Arial" w:cs="Arial"/>
        </w:rPr>
        <w:t>. It will serve as a coversheet that will be cross-referenced with the required raw data submissions requested in the MS Excel document titled, “</w:t>
      </w:r>
      <w:r w:rsidR="00852372" w:rsidRPr="00852372">
        <w:rPr>
          <w:rStyle w:val="normaltextrun"/>
          <w:rFonts w:ascii="Arial" w:eastAsiaTheme="majorEastAsia" w:hAnsi="Arial" w:cs="Arial"/>
        </w:rPr>
        <w:t xml:space="preserve">Claims and Utilization Management </w:t>
      </w:r>
      <w:r>
        <w:rPr>
          <w:rStyle w:val="normaltextrun"/>
          <w:rFonts w:ascii="Arial" w:eastAsiaTheme="majorEastAsia" w:hAnsi="Arial" w:cs="Arial"/>
        </w:rPr>
        <w:t>Date File Layouts” for the 2026 MH Parity Compliance Filing. As all raw data submissions should be made using the Dropbox link that OSI has provided, this document will serve as the SERFF record of the raw data submitted and, as an additional validity measure, will be verified against the raw data totals in the Dropbox submissions.</w:t>
      </w:r>
    </w:p>
    <w:p w14:paraId="52FC480A" w14:textId="77777777" w:rsidR="0082772E" w:rsidRDefault="0082772E" w:rsidP="00F35E21">
      <w:pPr>
        <w:spacing w:line="240" w:lineRule="auto"/>
        <w:rPr>
          <w:rStyle w:val="normaltextrun"/>
          <w:rFonts w:eastAsiaTheme="majorEastAsia"/>
        </w:rPr>
      </w:pPr>
    </w:p>
    <w:p w14:paraId="3499502B" w14:textId="77777777" w:rsidR="0082772E" w:rsidRDefault="0082772E" w:rsidP="00F35E21">
      <w:pPr>
        <w:spacing w:line="240" w:lineRule="auto"/>
        <w:rPr>
          <w:rStyle w:val="normaltextrun"/>
          <w:rFonts w:eastAsiaTheme="majorEastAsia"/>
        </w:rPr>
      </w:pPr>
    </w:p>
    <w:p w14:paraId="7AD7EDDB" w14:textId="77777777" w:rsidR="0082772E" w:rsidRDefault="0082772E" w:rsidP="00F35E21">
      <w:pPr>
        <w:spacing w:line="240" w:lineRule="auto"/>
        <w:rPr>
          <w:rStyle w:val="normaltextrun"/>
          <w:rFonts w:eastAsiaTheme="majorEastAsia"/>
        </w:rPr>
      </w:pPr>
    </w:p>
    <w:p w14:paraId="7601277C" w14:textId="77777777" w:rsidR="0082772E" w:rsidRDefault="0082772E" w:rsidP="00F35E21">
      <w:pPr>
        <w:spacing w:line="240" w:lineRule="auto"/>
        <w:rPr>
          <w:rStyle w:val="normaltextrun"/>
          <w:rFonts w:eastAsiaTheme="majorEastAsia"/>
        </w:rPr>
      </w:pPr>
    </w:p>
    <w:p w14:paraId="3C946946" w14:textId="77777777" w:rsidR="0082772E" w:rsidRDefault="0082772E" w:rsidP="00F35E21">
      <w:pPr>
        <w:spacing w:line="240" w:lineRule="auto"/>
        <w:rPr>
          <w:rStyle w:val="normaltextrun"/>
          <w:rFonts w:eastAsiaTheme="majorEastAsia"/>
        </w:rPr>
      </w:pPr>
    </w:p>
    <w:p w14:paraId="6319CE24" w14:textId="77777777" w:rsidR="0082772E" w:rsidRDefault="0082772E" w:rsidP="00F35E21">
      <w:pPr>
        <w:spacing w:line="240" w:lineRule="auto"/>
        <w:rPr>
          <w:rStyle w:val="normaltextrun"/>
          <w:rFonts w:ascii="Arial" w:eastAsiaTheme="majorEastAsia"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0"/>
      </w:tblGrid>
      <w:tr w:rsidR="00F35E21" w14:paraId="76FD8BF0" w14:textId="77777777" w:rsidTr="00AB1054">
        <w:tc>
          <w:tcPr>
            <w:tcW w:w="12950" w:type="dxa"/>
            <w:shd w:val="clear" w:color="auto" w:fill="45B0E1" w:themeFill="accent1" w:themeFillTint="99"/>
          </w:tcPr>
          <w:p w14:paraId="314D2126" w14:textId="77777777" w:rsidR="00F35E21" w:rsidRPr="00333F67" w:rsidRDefault="00F35E21" w:rsidP="004444A4">
            <w:pPr>
              <w:pStyle w:val="paragraph"/>
              <w:spacing w:before="0" w:beforeAutospacing="0" w:after="0" w:afterAutospacing="0"/>
              <w:textAlignment w:val="baseline"/>
              <w:rPr>
                <w:rStyle w:val="normaltextrun"/>
                <w:rFonts w:eastAsiaTheme="majorEastAsia"/>
                <w:color w:val="FFFFFF" w:themeColor="background1"/>
                <w:sz w:val="28"/>
                <w:szCs w:val="28"/>
              </w:rPr>
            </w:pPr>
            <w:r>
              <w:rPr>
                <w:rStyle w:val="normaltextrun"/>
                <w:rFonts w:ascii="Arial" w:eastAsiaTheme="majorEastAsia" w:hAnsi="Arial" w:cs="Arial"/>
                <w:b/>
                <w:bCs/>
                <w:color w:val="FFFFFF" w:themeColor="background1"/>
                <w:sz w:val="28"/>
                <w:szCs w:val="28"/>
              </w:rPr>
              <w:t>2</w:t>
            </w:r>
            <w:r>
              <w:rPr>
                <w:rStyle w:val="normaltextrun"/>
                <w:rFonts w:eastAsiaTheme="majorEastAsia"/>
                <w:b/>
                <w:bCs/>
                <w:color w:val="FFFFFF" w:themeColor="background1"/>
                <w:sz w:val="28"/>
                <w:szCs w:val="28"/>
              </w:rPr>
              <w:t xml:space="preserve">. </w:t>
            </w:r>
            <w:r w:rsidRPr="00333F67">
              <w:rPr>
                <w:rStyle w:val="normaltextrun"/>
                <w:rFonts w:ascii="Arial" w:eastAsiaTheme="majorEastAsia" w:hAnsi="Arial" w:cs="Arial"/>
                <w:b/>
                <w:bCs/>
                <w:color w:val="FFFFFF" w:themeColor="background1"/>
                <w:sz w:val="28"/>
                <w:szCs w:val="28"/>
              </w:rPr>
              <w:t>Instructions</w:t>
            </w:r>
          </w:p>
        </w:tc>
      </w:tr>
    </w:tbl>
    <w:p w14:paraId="77EE6DEB" w14:textId="77777777" w:rsidR="00F35E21" w:rsidRDefault="00F35E21" w:rsidP="00F35E21">
      <w:pPr>
        <w:pStyle w:val="paragraph"/>
        <w:spacing w:before="0" w:beforeAutospacing="0" w:after="0" w:afterAutospacing="0"/>
        <w:textAlignment w:val="baseline"/>
        <w:rPr>
          <w:rStyle w:val="normaltextrun"/>
          <w:rFonts w:ascii="Arial" w:eastAsiaTheme="majorEastAsia" w:hAnsi="Arial" w:cs="Arial"/>
          <w:b/>
          <w:bCs/>
          <w:sz w:val="22"/>
          <w:szCs w:val="22"/>
        </w:rPr>
      </w:pPr>
    </w:p>
    <w:p w14:paraId="10FBDAC4" w14:textId="77777777" w:rsidR="00F35E21" w:rsidRPr="00146182" w:rsidRDefault="00F35E21" w:rsidP="00F35E21">
      <w:pPr>
        <w:pStyle w:val="paragraph"/>
        <w:spacing w:before="0" w:beforeAutospacing="0" w:after="0" w:afterAutospacing="0"/>
        <w:textAlignment w:val="baseline"/>
        <w:rPr>
          <w:rFonts w:ascii="Arial" w:eastAsiaTheme="majorEastAsia" w:hAnsi="Arial" w:cs="Arial"/>
          <w:b/>
          <w:bCs/>
          <w:sz w:val="22"/>
          <w:szCs w:val="22"/>
        </w:rPr>
      </w:pPr>
      <w:r w:rsidRPr="00146182">
        <w:rPr>
          <w:rStyle w:val="normaltextrun"/>
          <w:rFonts w:ascii="Arial" w:eastAsiaTheme="majorEastAsia" w:hAnsi="Arial" w:cs="Arial"/>
          <w:b/>
          <w:bCs/>
          <w:sz w:val="22"/>
          <w:szCs w:val="22"/>
        </w:rPr>
        <w:t xml:space="preserve">All responses, data and information provided for the review should be associated with the following measurement period: January 1, </w:t>
      </w:r>
      <w:r>
        <w:rPr>
          <w:rStyle w:val="normaltextrun"/>
          <w:rFonts w:ascii="Arial" w:eastAsiaTheme="majorEastAsia" w:hAnsi="Arial" w:cs="Arial"/>
          <w:b/>
          <w:bCs/>
          <w:sz w:val="22"/>
          <w:szCs w:val="22"/>
        </w:rPr>
        <w:t>2025</w:t>
      </w:r>
      <w:r w:rsidRPr="00146182">
        <w:rPr>
          <w:rStyle w:val="normaltextrun"/>
          <w:rFonts w:ascii="Arial" w:eastAsiaTheme="majorEastAsia" w:hAnsi="Arial" w:cs="Arial"/>
          <w:b/>
          <w:bCs/>
          <w:sz w:val="22"/>
          <w:szCs w:val="22"/>
        </w:rPr>
        <w:t xml:space="preserve"> – December 31, </w:t>
      </w:r>
      <w:r>
        <w:rPr>
          <w:rStyle w:val="normaltextrun"/>
          <w:rFonts w:ascii="Arial" w:eastAsiaTheme="majorEastAsia" w:hAnsi="Arial" w:cs="Arial"/>
          <w:b/>
          <w:bCs/>
          <w:sz w:val="22"/>
          <w:szCs w:val="22"/>
        </w:rPr>
        <w:t>2025</w:t>
      </w:r>
      <w:r w:rsidRPr="00146182">
        <w:rPr>
          <w:rStyle w:val="normaltextrun"/>
          <w:rFonts w:ascii="Arial" w:eastAsiaTheme="majorEastAsia" w:hAnsi="Arial" w:cs="Arial"/>
          <w:b/>
          <w:bCs/>
          <w:sz w:val="22"/>
          <w:szCs w:val="22"/>
        </w:rPr>
        <w:t xml:space="preserve">, hereto forward will by referred to as Calendar Year </w:t>
      </w:r>
      <w:r>
        <w:rPr>
          <w:rStyle w:val="normaltextrun"/>
          <w:rFonts w:ascii="Arial" w:eastAsiaTheme="majorEastAsia" w:hAnsi="Arial" w:cs="Arial"/>
          <w:b/>
          <w:bCs/>
          <w:sz w:val="22"/>
          <w:szCs w:val="22"/>
        </w:rPr>
        <w:t>2025</w:t>
      </w:r>
      <w:r w:rsidRPr="00146182">
        <w:rPr>
          <w:rStyle w:val="normaltextrun"/>
          <w:rFonts w:ascii="Arial" w:eastAsiaTheme="majorEastAsia" w:hAnsi="Arial" w:cs="Arial"/>
          <w:b/>
          <w:bCs/>
          <w:sz w:val="22"/>
          <w:szCs w:val="22"/>
        </w:rPr>
        <w:t xml:space="preserve"> or “CY </w:t>
      </w:r>
      <w:r>
        <w:rPr>
          <w:rStyle w:val="normaltextrun"/>
          <w:rFonts w:ascii="Arial" w:eastAsiaTheme="majorEastAsia" w:hAnsi="Arial" w:cs="Arial"/>
          <w:b/>
          <w:bCs/>
          <w:sz w:val="22"/>
          <w:szCs w:val="22"/>
        </w:rPr>
        <w:t>2025</w:t>
      </w:r>
      <w:r w:rsidRPr="00146182">
        <w:rPr>
          <w:rStyle w:val="normaltextrun"/>
          <w:rFonts w:ascii="Arial" w:eastAsiaTheme="majorEastAsia" w:hAnsi="Arial" w:cs="Arial"/>
          <w:b/>
          <w:bCs/>
          <w:sz w:val="22"/>
          <w:szCs w:val="22"/>
        </w:rPr>
        <w:t>”</w:t>
      </w:r>
    </w:p>
    <w:p w14:paraId="29045790" w14:textId="011980B8" w:rsidR="00F35E21" w:rsidRPr="004573E3" w:rsidRDefault="00F35E21" w:rsidP="00F35E21">
      <w:pPr>
        <w:pStyle w:val="paragraph"/>
        <w:spacing w:after="0"/>
        <w:textAlignment w:val="baseline"/>
        <w:rPr>
          <w:rStyle w:val="normaltextrun"/>
          <w:rFonts w:ascii="Arial" w:eastAsiaTheme="majorEastAsia" w:hAnsi="Arial" w:cs="Arial"/>
          <w:sz w:val="22"/>
          <w:szCs w:val="22"/>
        </w:rPr>
      </w:pPr>
      <w:r w:rsidRPr="00DD6F44">
        <w:rPr>
          <w:rStyle w:val="normaltextrun"/>
          <w:rFonts w:ascii="Arial" w:eastAsiaTheme="majorEastAsia" w:hAnsi="Arial" w:cs="Arial"/>
          <w:b/>
          <w:bCs/>
          <w:sz w:val="22"/>
          <w:szCs w:val="22"/>
          <w:u w:val="single"/>
        </w:rPr>
        <w:t>Confidentiality of MH/SUD Parity Raw Data Related Submissions</w:t>
      </w:r>
      <w:r w:rsidRPr="009B6E0B">
        <w:rPr>
          <w:rStyle w:val="normaltextrun"/>
          <w:rFonts w:ascii="Arial" w:eastAsiaTheme="majorEastAsia" w:hAnsi="Arial" w:cs="Arial"/>
          <w:b/>
          <w:bCs/>
          <w:sz w:val="22"/>
          <w:szCs w:val="22"/>
        </w:rPr>
        <w:t xml:space="preserve">: </w:t>
      </w:r>
      <w:r w:rsidRPr="004573E3">
        <w:rPr>
          <w:rStyle w:val="normaltextrun"/>
          <w:rFonts w:ascii="Arial" w:eastAsiaTheme="majorEastAsia" w:hAnsi="Arial" w:cs="Arial"/>
          <w:sz w:val="22"/>
          <w:szCs w:val="22"/>
        </w:rPr>
        <w:t>The data submitted pursuant to the mental health parity requirements will be deemed confidential pursuant to NMSA 1978, Section 59A-2-12(B). OSI reserves any rights or remedies that OSI may have to use this data under the Insurance Code.</w:t>
      </w:r>
    </w:p>
    <w:p w14:paraId="269FF84B" w14:textId="77777777" w:rsidR="00F35E21" w:rsidRPr="004573E3" w:rsidRDefault="00F35E21" w:rsidP="00F35E21">
      <w:pPr>
        <w:pStyle w:val="paragraph"/>
        <w:spacing w:before="0" w:beforeAutospacing="0" w:after="0" w:afterAutospacing="0"/>
        <w:textAlignment w:val="baseline"/>
        <w:rPr>
          <w:rStyle w:val="normaltextrun"/>
          <w:rFonts w:ascii="Arial" w:eastAsiaTheme="majorEastAsia" w:hAnsi="Arial" w:cs="Arial"/>
          <w:sz w:val="22"/>
          <w:szCs w:val="22"/>
        </w:rPr>
      </w:pPr>
      <w:r w:rsidRPr="004573E3">
        <w:rPr>
          <w:rStyle w:val="normaltextrun"/>
          <w:rFonts w:ascii="Arial" w:eastAsiaTheme="majorEastAsia" w:hAnsi="Arial" w:cs="Arial"/>
          <w:sz w:val="22"/>
          <w:szCs w:val="22"/>
        </w:rPr>
        <w:t xml:space="preserve">Note: The above confidentiality statement refers to data submitted via Dropbox. The information submitted to OSI via the System for Electronic Rates and Forms Filing (SERFF) remains subject to the SERFF confidentiality standards and procedures. However, OSI reserves any rights or remedies that OSI may have to </w:t>
      </w:r>
      <w:proofErr w:type="gramStart"/>
      <w:r w:rsidRPr="004573E3">
        <w:rPr>
          <w:rStyle w:val="normaltextrun"/>
          <w:rFonts w:ascii="Arial" w:eastAsiaTheme="majorEastAsia" w:hAnsi="Arial" w:cs="Arial"/>
          <w:sz w:val="22"/>
          <w:szCs w:val="22"/>
        </w:rPr>
        <w:t>use this data</w:t>
      </w:r>
      <w:proofErr w:type="gramEnd"/>
      <w:r w:rsidRPr="004573E3">
        <w:rPr>
          <w:rStyle w:val="normaltextrun"/>
          <w:rFonts w:ascii="Arial" w:eastAsiaTheme="majorEastAsia" w:hAnsi="Arial" w:cs="Arial"/>
          <w:sz w:val="22"/>
          <w:szCs w:val="22"/>
        </w:rPr>
        <w:t xml:space="preserve"> under the Insurance Code.</w:t>
      </w:r>
    </w:p>
    <w:p w14:paraId="62052BF0" w14:textId="77777777" w:rsidR="00F35E21" w:rsidRDefault="00F35E21" w:rsidP="00F35E21">
      <w:pPr>
        <w:pStyle w:val="paragraph"/>
        <w:spacing w:before="0" w:beforeAutospacing="0" w:after="0" w:afterAutospacing="0"/>
        <w:textAlignment w:val="baseline"/>
        <w:rPr>
          <w:rStyle w:val="normaltextrun"/>
          <w:rFonts w:ascii="Arial" w:eastAsiaTheme="majorEastAsia" w:hAnsi="Arial" w:cs="Arial"/>
          <w:b/>
          <w:bCs/>
          <w:sz w:val="22"/>
          <w:szCs w:val="22"/>
        </w:rPr>
      </w:pPr>
    </w:p>
    <w:p w14:paraId="7B737618" w14:textId="77777777" w:rsidR="00F35E21" w:rsidRPr="00F96446" w:rsidRDefault="00F35E21" w:rsidP="00F35E21">
      <w:pPr>
        <w:pStyle w:val="paragraph"/>
        <w:spacing w:before="0" w:beforeAutospacing="0" w:after="0" w:afterAutospacing="0"/>
        <w:textAlignment w:val="baseline"/>
        <w:rPr>
          <w:rStyle w:val="eop"/>
          <w:rFonts w:ascii="Arial" w:eastAsiaTheme="majorEastAsia" w:hAnsi="Arial" w:cs="Arial"/>
          <w:sz w:val="22"/>
          <w:szCs w:val="22"/>
        </w:rPr>
      </w:pPr>
      <w:r w:rsidRPr="00F96446">
        <w:rPr>
          <w:rStyle w:val="normaltextrun"/>
          <w:rFonts w:ascii="Arial" w:eastAsiaTheme="majorEastAsia" w:hAnsi="Arial" w:cs="Arial"/>
          <w:b/>
          <w:bCs/>
          <w:sz w:val="22"/>
          <w:szCs w:val="22"/>
        </w:rPr>
        <w:t>I</w:t>
      </w:r>
      <w:r w:rsidRPr="0094440C">
        <w:rPr>
          <w:rStyle w:val="normaltextrun"/>
          <w:rFonts w:ascii="Arial" w:eastAsiaTheme="majorEastAsia" w:hAnsi="Arial" w:cs="Arial"/>
          <w:b/>
          <w:bCs/>
          <w:sz w:val="22"/>
          <w:szCs w:val="22"/>
          <w:u w:val="single"/>
        </w:rPr>
        <w:t>nstructions</w:t>
      </w:r>
      <w:r w:rsidRPr="00F96446">
        <w:rPr>
          <w:rStyle w:val="normaltextrun"/>
          <w:rFonts w:ascii="Arial" w:eastAsiaTheme="majorEastAsia" w:hAnsi="Arial" w:cs="Arial"/>
          <w:b/>
          <w:bCs/>
          <w:sz w:val="22"/>
          <w:szCs w:val="22"/>
        </w:rPr>
        <w:t xml:space="preserve">: </w:t>
      </w:r>
      <w:r>
        <w:rPr>
          <w:rStyle w:val="normaltextrun"/>
          <w:rFonts w:ascii="Arial" w:eastAsiaTheme="majorEastAsia" w:hAnsi="Arial" w:cs="Arial"/>
          <w:sz w:val="22"/>
          <w:szCs w:val="22"/>
        </w:rPr>
        <w:t xml:space="preserve">This tool has been provided in MS Word, so insurers have enough space to provide full explanations in required fields. </w:t>
      </w:r>
      <w:r w:rsidRPr="00F96446">
        <w:rPr>
          <w:rStyle w:val="normaltextrun"/>
          <w:rFonts w:ascii="Arial" w:eastAsiaTheme="majorEastAsia" w:hAnsi="Arial" w:cs="Arial"/>
          <w:sz w:val="22"/>
          <w:szCs w:val="22"/>
        </w:rPr>
        <w:t xml:space="preserve">Please complete </w:t>
      </w:r>
      <w:r w:rsidRPr="00100ECB">
        <w:rPr>
          <w:rStyle w:val="normaltextrun"/>
          <w:rFonts w:ascii="Arial" w:eastAsiaTheme="majorEastAsia" w:hAnsi="Arial" w:cs="Arial"/>
          <w:sz w:val="22"/>
          <w:szCs w:val="22"/>
          <w:u w:val="single"/>
        </w:rPr>
        <w:t>all</w:t>
      </w:r>
      <w:r w:rsidRPr="00100ECB">
        <w:rPr>
          <w:rStyle w:val="normaltextrun"/>
          <w:rFonts w:ascii="Arial" w:eastAsiaTheme="majorEastAsia" w:hAnsi="Arial" w:cs="Arial"/>
          <w:sz w:val="22"/>
          <w:szCs w:val="22"/>
        </w:rPr>
        <w:t xml:space="preserve"> </w:t>
      </w:r>
      <w:r w:rsidRPr="00F96446">
        <w:rPr>
          <w:rStyle w:val="normaltextrun"/>
          <w:rFonts w:ascii="Arial" w:eastAsiaTheme="majorEastAsia" w:hAnsi="Arial" w:cs="Arial"/>
          <w:sz w:val="22"/>
          <w:szCs w:val="22"/>
        </w:rPr>
        <w:t>sections and follow the response prompts in the tool.</w:t>
      </w:r>
    </w:p>
    <w:p w14:paraId="178663BE" w14:textId="77777777" w:rsidR="00F35E21" w:rsidRPr="00670841" w:rsidRDefault="00F35E21" w:rsidP="00F35E21">
      <w:pPr>
        <w:pStyle w:val="paragraph"/>
        <w:spacing w:before="0" w:beforeAutospacing="0" w:after="0" w:afterAutospacing="0"/>
        <w:textAlignment w:val="baseline"/>
        <w:rPr>
          <w:rFonts w:ascii="Arial" w:hAnsi="Arial" w:cs="Arial"/>
          <w:sz w:val="8"/>
          <w:szCs w:val="8"/>
        </w:rPr>
      </w:pPr>
    </w:p>
    <w:p w14:paraId="19AD2E97" w14:textId="77777777" w:rsidR="00F35E21" w:rsidRPr="00F96446" w:rsidRDefault="00F35E21" w:rsidP="00F35E21">
      <w:pPr>
        <w:pStyle w:val="paragraph"/>
        <w:spacing w:before="0" w:beforeAutospacing="0" w:after="0" w:afterAutospacing="0"/>
        <w:textAlignment w:val="baseline"/>
        <w:rPr>
          <w:rFonts w:ascii="Arial" w:hAnsi="Arial" w:cs="Arial"/>
          <w:sz w:val="22"/>
          <w:szCs w:val="22"/>
        </w:rPr>
      </w:pPr>
      <w:r w:rsidRPr="00F96446">
        <w:rPr>
          <w:rStyle w:val="normaltextrun"/>
          <w:rFonts w:ascii="Arial" w:eastAsiaTheme="majorEastAsia" w:hAnsi="Arial" w:cs="Arial"/>
          <w:sz w:val="22"/>
          <w:szCs w:val="22"/>
        </w:rPr>
        <w:t>General instructions include: </w:t>
      </w:r>
      <w:r w:rsidRPr="00F96446">
        <w:rPr>
          <w:rStyle w:val="eop"/>
          <w:rFonts w:ascii="Arial" w:eastAsiaTheme="majorEastAsia" w:hAnsi="Arial" w:cs="Arial"/>
          <w:sz w:val="22"/>
          <w:szCs w:val="22"/>
        </w:rPr>
        <w:t> </w:t>
      </w:r>
    </w:p>
    <w:p w14:paraId="23E12409" w14:textId="77777777" w:rsidR="00F35E21" w:rsidRPr="00C93F95" w:rsidRDefault="00F35E21" w:rsidP="00F35E21">
      <w:pPr>
        <w:pStyle w:val="paragraph"/>
        <w:numPr>
          <w:ilvl w:val="0"/>
          <w:numId w:val="15"/>
        </w:numPr>
        <w:spacing w:before="0" w:beforeAutospacing="0" w:after="0" w:afterAutospacing="0"/>
        <w:textAlignment w:val="baseline"/>
        <w:rPr>
          <w:rStyle w:val="normaltextrun"/>
          <w:rFonts w:ascii="Arial" w:hAnsi="Arial" w:cs="Arial"/>
          <w:sz w:val="22"/>
          <w:szCs w:val="22"/>
        </w:rPr>
      </w:pPr>
      <w:r w:rsidRPr="00F96446">
        <w:rPr>
          <w:rStyle w:val="normaltextrun"/>
          <w:rFonts w:ascii="Arial" w:eastAsiaTheme="majorEastAsia" w:hAnsi="Arial" w:cs="Arial"/>
          <w:sz w:val="22"/>
          <w:szCs w:val="22"/>
        </w:rPr>
        <w:t>Do not alter the file type</w:t>
      </w:r>
      <w:r>
        <w:rPr>
          <w:rStyle w:val="normaltextrun"/>
          <w:rFonts w:ascii="Arial" w:eastAsiaTheme="majorEastAsia" w:hAnsi="Arial" w:cs="Arial"/>
          <w:sz w:val="22"/>
          <w:szCs w:val="22"/>
        </w:rPr>
        <w:t xml:space="preserve"> or embed any documents in this tool.</w:t>
      </w:r>
    </w:p>
    <w:p w14:paraId="0F302432" w14:textId="77777777" w:rsidR="00F35E21" w:rsidRPr="00F96446" w:rsidRDefault="00F35E21" w:rsidP="00F35E21">
      <w:pPr>
        <w:pStyle w:val="paragraph"/>
        <w:numPr>
          <w:ilvl w:val="0"/>
          <w:numId w:val="15"/>
        </w:numPr>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 xml:space="preserve">Do not alter any of the questions when typing responses. </w:t>
      </w:r>
      <w:r>
        <w:rPr>
          <w:rStyle w:val="eop"/>
          <w:rFonts w:ascii="Arial" w:eastAsiaTheme="majorEastAsia" w:hAnsi="Arial" w:cs="Arial"/>
          <w:sz w:val="22"/>
          <w:szCs w:val="22"/>
        </w:rPr>
        <w:t>Note: If questions have been altered, the insurer will be required to fill out and resubmit the entire document again.</w:t>
      </w:r>
    </w:p>
    <w:p w14:paraId="44E94B1C" w14:textId="77777777" w:rsidR="00F35E21" w:rsidRPr="00E008DB" w:rsidRDefault="00F35E21" w:rsidP="00F35E21">
      <w:pPr>
        <w:pStyle w:val="paragraph"/>
        <w:numPr>
          <w:ilvl w:val="0"/>
          <w:numId w:val="15"/>
        </w:numPr>
        <w:spacing w:before="0" w:beforeAutospacing="0" w:after="0" w:afterAutospacing="0"/>
        <w:textAlignment w:val="baseline"/>
        <w:rPr>
          <w:rStyle w:val="eop"/>
          <w:rFonts w:ascii="Arial" w:hAnsi="Arial" w:cs="Arial"/>
          <w:sz w:val="22"/>
          <w:szCs w:val="22"/>
        </w:rPr>
      </w:pPr>
      <w:r>
        <w:rPr>
          <w:rStyle w:val="eop"/>
          <w:rFonts w:ascii="Arial" w:eastAsiaTheme="majorEastAsia" w:hAnsi="Arial" w:cs="Arial"/>
          <w:sz w:val="22"/>
          <w:szCs w:val="22"/>
        </w:rPr>
        <w:t>If your responses exceed the number of lines provided, you may continue typing within the same section.</w:t>
      </w:r>
    </w:p>
    <w:p w14:paraId="44F34CCF" w14:textId="77777777" w:rsidR="00F35E21" w:rsidRPr="00E34F40" w:rsidRDefault="00F35E21" w:rsidP="00F35E21">
      <w:pPr>
        <w:pStyle w:val="paragraph"/>
        <w:numPr>
          <w:ilvl w:val="0"/>
          <w:numId w:val="15"/>
        </w:numPr>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 xml:space="preserve">If numbering or formatting inadvertently alters when typing responses, that is </w:t>
      </w:r>
      <w:r w:rsidRPr="009D73C1">
        <w:rPr>
          <w:rStyle w:val="normaltextrun"/>
          <w:rFonts w:ascii="Arial" w:eastAsiaTheme="majorEastAsia" w:hAnsi="Arial" w:cs="Arial"/>
          <w:sz w:val="22"/>
          <w:szCs w:val="22"/>
        </w:rPr>
        <w:t xml:space="preserve">permissible </w:t>
      </w:r>
      <w:proofErr w:type="gramStart"/>
      <w:r>
        <w:rPr>
          <w:rStyle w:val="normaltextrun"/>
          <w:rFonts w:ascii="Arial" w:eastAsiaTheme="majorEastAsia" w:hAnsi="Arial" w:cs="Arial"/>
          <w:sz w:val="22"/>
          <w:szCs w:val="22"/>
        </w:rPr>
        <w:t>as long as</w:t>
      </w:r>
      <w:proofErr w:type="gramEnd"/>
      <w:r>
        <w:rPr>
          <w:rStyle w:val="normaltextrun"/>
          <w:rFonts w:ascii="Arial" w:eastAsiaTheme="majorEastAsia" w:hAnsi="Arial" w:cs="Arial"/>
          <w:sz w:val="22"/>
          <w:szCs w:val="22"/>
        </w:rPr>
        <w:t xml:space="preserve"> questions aren’t changed.</w:t>
      </w:r>
    </w:p>
    <w:p w14:paraId="44D680A8" w14:textId="77777777" w:rsidR="00F35E21" w:rsidRPr="000A1162" w:rsidRDefault="00F35E21" w:rsidP="00F35E21">
      <w:pPr>
        <w:pStyle w:val="paragraph"/>
        <w:spacing w:before="0" w:beforeAutospacing="0" w:after="0" w:afterAutospacing="0"/>
        <w:ind w:left="360"/>
        <w:textAlignment w:val="baseline"/>
        <w:rPr>
          <w:rFonts w:ascii="Arial" w:hAnsi="Arial" w:cs="Arial"/>
          <w:sz w:val="20"/>
          <w:szCs w:val="20"/>
        </w:rPr>
      </w:pPr>
    </w:p>
    <w:p w14:paraId="7412969A" w14:textId="77777777" w:rsidR="00F35E21" w:rsidRDefault="00F35E21" w:rsidP="00F35E21">
      <w:r w:rsidRPr="00DD6F44">
        <w:rPr>
          <w:rStyle w:val="normaltextrun"/>
          <w:rFonts w:ascii="Arial" w:eastAsiaTheme="majorEastAsia" w:hAnsi="Arial" w:cs="Arial"/>
          <w:b/>
          <w:bCs/>
          <w:u w:val="single"/>
        </w:rPr>
        <w:t>Updates</w:t>
      </w:r>
      <w:r w:rsidRPr="00F61D52">
        <w:rPr>
          <w:rStyle w:val="normaltextrun"/>
          <w:rFonts w:ascii="Arial" w:eastAsiaTheme="majorEastAsia" w:hAnsi="Arial" w:cs="Arial"/>
          <w:b/>
          <w:bCs/>
        </w:rPr>
        <w:t xml:space="preserve">: </w:t>
      </w:r>
      <w:r>
        <w:rPr>
          <w:rStyle w:val="normaltextrun"/>
          <w:rFonts w:ascii="Arial" w:eastAsiaTheme="majorEastAsia" w:hAnsi="Arial" w:cs="Arial"/>
        </w:rPr>
        <w:t>This “Coversheet” has been updated from MH/SUD Parity data call/compliance filing versions in past years. It may</w:t>
      </w:r>
      <w:r>
        <w:rPr>
          <w:rFonts w:ascii="Arial" w:hAnsi="Arial" w:cs="Arial"/>
        </w:rPr>
        <w:t xml:space="preserve"> </w:t>
      </w:r>
      <w:r>
        <w:rPr>
          <w:rStyle w:val="normaltextrun"/>
          <w:rFonts w:ascii="Arial" w:eastAsiaTheme="majorEastAsia" w:hAnsi="Arial" w:cs="Arial"/>
        </w:rPr>
        <w:t xml:space="preserve">be updated for future compliance filings for MH/SUD </w:t>
      </w:r>
      <w:proofErr w:type="gramStart"/>
      <w:r>
        <w:rPr>
          <w:rStyle w:val="normaltextrun"/>
          <w:rFonts w:ascii="Arial" w:eastAsiaTheme="majorEastAsia" w:hAnsi="Arial" w:cs="Arial"/>
        </w:rPr>
        <w:t>parity</w:t>
      </w:r>
      <w:proofErr w:type="gramEnd"/>
      <w:r>
        <w:rPr>
          <w:rStyle w:val="normaltextrun"/>
          <w:rFonts w:ascii="Arial" w:eastAsiaTheme="majorEastAsia" w:hAnsi="Arial" w:cs="Arial"/>
        </w:rPr>
        <w:t xml:space="preserve"> and will be made available on the Mental Health Parity tab of the OSI website. Please be sure to check that page of the website to ensure you are using the correct version of this tool for this and any upcoming data calls, at this link: </w:t>
      </w:r>
      <w:hyperlink r:id="rId8" w:history="1">
        <w:r w:rsidRPr="001F02CF">
          <w:rPr>
            <w:rStyle w:val="Hyperlink"/>
            <w:rFonts w:ascii="Arial" w:eastAsiaTheme="majorEastAsia" w:hAnsi="Arial" w:cs="Arial"/>
          </w:rPr>
          <w:t>Office of Superintendent of Insurance (state.nm.us)</w:t>
        </w:r>
      </w:hyperlink>
    </w:p>
    <w:p w14:paraId="374B8B4A" w14:textId="77777777" w:rsidR="0082772E" w:rsidRDefault="0082772E" w:rsidP="00F35E21"/>
    <w:p w14:paraId="6524E0FB" w14:textId="77777777" w:rsidR="0082772E" w:rsidRDefault="0082772E" w:rsidP="00F35E21"/>
    <w:p w14:paraId="40A26D59" w14:textId="77777777" w:rsidR="0082772E" w:rsidRDefault="0082772E" w:rsidP="00F35E21"/>
    <w:p w14:paraId="52C5F985" w14:textId="77777777" w:rsidR="0082772E" w:rsidRDefault="0082772E" w:rsidP="00F35E21"/>
    <w:p w14:paraId="4102386D" w14:textId="77777777" w:rsidR="0082772E" w:rsidRDefault="0082772E" w:rsidP="00F35E2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0"/>
      </w:tblGrid>
      <w:tr w:rsidR="0052780F" w:rsidRPr="0090538A" w14:paraId="45DB5C6A" w14:textId="77777777" w:rsidTr="009A1DFE">
        <w:tc>
          <w:tcPr>
            <w:tcW w:w="12950" w:type="dxa"/>
            <w:shd w:val="clear" w:color="auto" w:fill="00B0F0"/>
          </w:tcPr>
          <w:p w14:paraId="499074BD" w14:textId="7340A967" w:rsidR="0052780F" w:rsidRPr="0090538A" w:rsidRDefault="005E15D9" w:rsidP="005E15D9">
            <w:pPr>
              <w:pStyle w:val="paragraph"/>
              <w:spacing w:before="0" w:beforeAutospacing="0" w:after="0" w:afterAutospacing="0"/>
              <w:textAlignment w:val="baseline"/>
              <w:rPr>
                <w:rStyle w:val="normaltextrun"/>
                <w:rFonts w:ascii="Arial" w:eastAsiaTheme="majorEastAsia" w:hAnsi="Arial" w:cs="Arial"/>
                <w:b/>
                <w:bCs/>
                <w:color w:val="FFFFFF" w:themeColor="background1"/>
                <w:sz w:val="28"/>
                <w:szCs w:val="28"/>
              </w:rPr>
            </w:pPr>
            <w:r>
              <w:rPr>
                <w:rStyle w:val="normaltextrun"/>
                <w:rFonts w:ascii="Arial" w:hAnsi="Arial" w:cs="Arial"/>
                <w:b/>
                <w:bCs/>
                <w:color w:val="FFFFFF" w:themeColor="background1"/>
                <w:sz w:val="28"/>
                <w:szCs w:val="28"/>
              </w:rPr>
              <w:t>3</w:t>
            </w:r>
            <w:r>
              <w:rPr>
                <w:rStyle w:val="normaltextrun"/>
                <w:b/>
                <w:bCs/>
                <w:color w:val="FFFFFF" w:themeColor="background1"/>
                <w:sz w:val="28"/>
                <w:szCs w:val="28"/>
              </w:rPr>
              <w:t xml:space="preserve">. </w:t>
            </w:r>
            <w:r w:rsidR="0052780F" w:rsidRPr="0090538A">
              <w:rPr>
                <w:rStyle w:val="normaltextrun"/>
                <w:rFonts w:ascii="Arial" w:eastAsiaTheme="majorEastAsia" w:hAnsi="Arial" w:cs="Arial"/>
                <w:b/>
                <w:bCs/>
                <w:color w:val="FFFFFF" w:themeColor="background1"/>
                <w:sz w:val="28"/>
                <w:szCs w:val="28"/>
              </w:rPr>
              <w:t>General Information</w:t>
            </w:r>
          </w:p>
        </w:tc>
      </w:tr>
    </w:tbl>
    <w:p w14:paraId="0B751B9D" w14:textId="77777777" w:rsidR="0052780F" w:rsidRPr="00495B43" w:rsidRDefault="0052780F" w:rsidP="0052780F">
      <w:pPr>
        <w:rPr>
          <w:rFonts w:ascii="Arial" w:hAnsi="Arial" w:cs="Arial"/>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0"/>
      </w:tblGrid>
      <w:tr w:rsidR="0052780F" w14:paraId="703F9E56" w14:textId="77777777" w:rsidTr="009A1DFE">
        <w:tc>
          <w:tcPr>
            <w:tcW w:w="12950" w:type="dxa"/>
            <w:shd w:val="clear" w:color="auto" w:fill="00B0F0"/>
          </w:tcPr>
          <w:p w14:paraId="26B105FE" w14:textId="77777777" w:rsidR="0052780F" w:rsidRPr="00D85171" w:rsidRDefault="0052780F" w:rsidP="003D6D08">
            <w:pPr>
              <w:pStyle w:val="paragraph"/>
              <w:spacing w:before="0" w:beforeAutospacing="0" w:after="0" w:afterAutospacing="0"/>
              <w:textAlignment w:val="baseline"/>
              <w:rPr>
                <w:rStyle w:val="normaltextrun"/>
                <w:rFonts w:eastAsiaTheme="majorEastAsia"/>
                <w:color w:val="FFFFFF" w:themeColor="background1"/>
                <w:sz w:val="12"/>
                <w:szCs w:val="12"/>
              </w:rPr>
            </w:pPr>
          </w:p>
        </w:tc>
      </w:tr>
    </w:tbl>
    <w:tbl>
      <w:tblPr>
        <w:tblpPr w:leftFromText="180" w:rightFromText="180" w:vertAnchor="text" w:tblpY="1"/>
        <w:tblOverlap w:val="never"/>
        <w:tblW w:w="129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9819"/>
        <w:gridCol w:w="198"/>
      </w:tblGrid>
      <w:tr w:rsidR="00E73483" w:rsidRPr="0049393B" w14:paraId="7E0E8275" w14:textId="77777777" w:rsidTr="00364911">
        <w:trPr>
          <w:trHeight w:val="435"/>
        </w:trPr>
        <w:tc>
          <w:tcPr>
            <w:tcW w:w="2955" w:type="dxa"/>
            <w:tcBorders>
              <w:top w:val="nil"/>
              <w:left w:val="single" w:sz="6" w:space="0" w:color="auto"/>
              <w:bottom w:val="single" w:sz="6" w:space="0" w:color="auto"/>
              <w:right w:val="single" w:sz="6" w:space="0" w:color="auto"/>
            </w:tcBorders>
            <w:shd w:val="clear" w:color="auto" w:fill="CAEDFB" w:themeFill="accent4" w:themeFillTint="33"/>
            <w:vAlign w:val="center"/>
            <w:hideMark/>
          </w:tcPr>
          <w:p w14:paraId="53AA4ADE" w14:textId="52941119" w:rsidR="00E73483" w:rsidRPr="00364911" w:rsidRDefault="00E73483" w:rsidP="00E73483">
            <w:pPr>
              <w:spacing w:after="0" w:line="240" w:lineRule="auto"/>
              <w:textAlignment w:val="baseline"/>
              <w:rPr>
                <w:rFonts w:ascii="Arial" w:eastAsia="Times New Roman" w:hAnsi="Arial" w:cs="Arial"/>
                <w:b/>
                <w:bCs/>
                <w:color w:val="000000"/>
                <w:kern w:val="0"/>
                <w14:ligatures w14:val="none"/>
              </w:rPr>
            </w:pPr>
            <w:r w:rsidRPr="00364911">
              <w:rPr>
                <w:rFonts w:ascii="Arial" w:hAnsi="Arial" w:cs="Arial"/>
                <w:b/>
                <w:bCs/>
              </w:rPr>
              <w:t>Insurer/Carrier Name:</w:t>
            </w:r>
          </w:p>
        </w:tc>
        <w:tc>
          <w:tcPr>
            <w:tcW w:w="9819" w:type="dxa"/>
            <w:tcBorders>
              <w:top w:val="nil"/>
              <w:left w:val="nil"/>
              <w:bottom w:val="single" w:sz="6" w:space="0" w:color="auto"/>
              <w:right w:val="nil"/>
            </w:tcBorders>
          </w:tcPr>
          <w:p w14:paraId="470709C7" w14:textId="77777777" w:rsidR="00E73483" w:rsidRPr="0049393B" w:rsidRDefault="00E73483" w:rsidP="00E73483">
            <w:pPr>
              <w:spacing w:after="0" w:line="240" w:lineRule="auto"/>
              <w:textAlignment w:val="baseline"/>
              <w:rPr>
                <w:rFonts w:ascii="Calibri" w:eastAsia="Times New Roman" w:hAnsi="Calibri" w:cs="Calibri"/>
                <w:color w:val="000000"/>
                <w:kern w:val="0"/>
                <w14:ligatures w14:val="none"/>
              </w:rPr>
            </w:pPr>
          </w:p>
        </w:tc>
        <w:tc>
          <w:tcPr>
            <w:tcW w:w="198" w:type="dxa"/>
            <w:tcBorders>
              <w:top w:val="nil"/>
              <w:left w:val="nil"/>
              <w:bottom w:val="single" w:sz="6" w:space="0" w:color="auto"/>
              <w:right w:val="single" w:sz="6" w:space="0" w:color="auto"/>
            </w:tcBorders>
            <w:vAlign w:val="center"/>
            <w:hideMark/>
          </w:tcPr>
          <w:p w14:paraId="740EFD0B" w14:textId="77777777" w:rsidR="00E73483" w:rsidRPr="0049393B" w:rsidRDefault="00E73483" w:rsidP="00E73483">
            <w:pPr>
              <w:spacing w:after="0" w:line="240" w:lineRule="auto"/>
              <w:textAlignment w:val="baseline"/>
              <w:rPr>
                <w:rFonts w:ascii="Segoe UI" w:eastAsia="Times New Roman" w:hAnsi="Segoe UI" w:cs="Segoe UI"/>
                <w:color w:val="000000"/>
                <w:kern w:val="0"/>
                <w:sz w:val="18"/>
                <w:szCs w:val="18"/>
                <w14:ligatures w14:val="none"/>
              </w:rPr>
            </w:pPr>
            <w:r w:rsidRPr="0049393B">
              <w:rPr>
                <w:rFonts w:ascii="Calibri" w:eastAsia="Times New Roman" w:hAnsi="Calibri" w:cs="Calibri"/>
                <w:color w:val="000000"/>
                <w:kern w:val="0"/>
                <w14:ligatures w14:val="none"/>
              </w:rPr>
              <w:t> ​</w:t>
            </w:r>
          </w:p>
        </w:tc>
      </w:tr>
      <w:tr w:rsidR="00E73483" w:rsidRPr="0049393B" w14:paraId="387871B3" w14:textId="77777777" w:rsidTr="00364911">
        <w:trPr>
          <w:trHeight w:val="435"/>
        </w:trPr>
        <w:tc>
          <w:tcPr>
            <w:tcW w:w="2955" w:type="dxa"/>
            <w:tcBorders>
              <w:top w:val="nil"/>
              <w:left w:val="single" w:sz="6" w:space="0" w:color="auto"/>
              <w:bottom w:val="single" w:sz="6" w:space="0" w:color="auto"/>
              <w:right w:val="single" w:sz="6" w:space="0" w:color="auto"/>
            </w:tcBorders>
            <w:shd w:val="clear" w:color="auto" w:fill="CAEDFB" w:themeFill="accent4" w:themeFillTint="33"/>
            <w:vAlign w:val="center"/>
            <w:hideMark/>
          </w:tcPr>
          <w:p w14:paraId="0DAFBF43" w14:textId="3E5ECBD8" w:rsidR="00E73483" w:rsidRPr="00364911" w:rsidRDefault="00E73483" w:rsidP="00E73483">
            <w:pPr>
              <w:spacing w:after="0" w:line="240" w:lineRule="auto"/>
              <w:textAlignment w:val="baseline"/>
              <w:rPr>
                <w:rFonts w:ascii="Arial" w:eastAsia="Times New Roman" w:hAnsi="Arial" w:cs="Arial"/>
                <w:b/>
                <w:bCs/>
                <w:color w:val="000000"/>
                <w:kern w:val="0"/>
                <w14:ligatures w14:val="none"/>
              </w:rPr>
            </w:pPr>
            <w:r w:rsidRPr="00364911">
              <w:rPr>
                <w:rFonts w:ascii="Arial" w:hAnsi="Arial" w:cs="Arial"/>
                <w:b/>
                <w:bCs/>
              </w:rPr>
              <w:t>NAIC Number:</w:t>
            </w:r>
          </w:p>
        </w:tc>
        <w:tc>
          <w:tcPr>
            <w:tcW w:w="9819" w:type="dxa"/>
            <w:tcBorders>
              <w:top w:val="nil"/>
              <w:left w:val="nil"/>
              <w:bottom w:val="single" w:sz="6" w:space="0" w:color="auto"/>
              <w:right w:val="nil"/>
            </w:tcBorders>
          </w:tcPr>
          <w:p w14:paraId="2A493174" w14:textId="77777777" w:rsidR="00E73483" w:rsidRPr="0049393B" w:rsidRDefault="00E73483" w:rsidP="00E73483">
            <w:pPr>
              <w:spacing w:after="0" w:line="240" w:lineRule="auto"/>
              <w:textAlignment w:val="baseline"/>
              <w:rPr>
                <w:rFonts w:ascii="Calibri" w:eastAsia="Times New Roman" w:hAnsi="Calibri" w:cs="Calibri"/>
                <w:color w:val="000000"/>
                <w:kern w:val="0"/>
                <w14:ligatures w14:val="none"/>
              </w:rPr>
            </w:pPr>
          </w:p>
        </w:tc>
        <w:tc>
          <w:tcPr>
            <w:tcW w:w="198" w:type="dxa"/>
            <w:tcBorders>
              <w:top w:val="nil"/>
              <w:left w:val="nil"/>
              <w:bottom w:val="single" w:sz="6" w:space="0" w:color="auto"/>
              <w:right w:val="single" w:sz="6" w:space="0" w:color="auto"/>
            </w:tcBorders>
            <w:vAlign w:val="center"/>
            <w:hideMark/>
          </w:tcPr>
          <w:p w14:paraId="54FAE6E3" w14:textId="77777777" w:rsidR="00E73483" w:rsidRPr="0049393B" w:rsidRDefault="00E73483" w:rsidP="00E73483">
            <w:pPr>
              <w:spacing w:after="0" w:line="240" w:lineRule="auto"/>
              <w:textAlignment w:val="baseline"/>
              <w:rPr>
                <w:rFonts w:ascii="Segoe UI" w:eastAsia="Times New Roman" w:hAnsi="Segoe UI" w:cs="Segoe UI"/>
                <w:color w:val="000000"/>
                <w:kern w:val="0"/>
                <w:sz w:val="18"/>
                <w:szCs w:val="18"/>
                <w14:ligatures w14:val="none"/>
              </w:rPr>
            </w:pPr>
            <w:r w:rsidRPr="0049393B">
              <w:rPr>
                <w:rFonts w:ascii="Calibri" w:eastAsia="Times New Roman" w:hAnsi="Calibri" w:cs="Calibri"/>
                <w:color w:val="000000"/>
                <w:kern w:val="0"/>
                <w14:ligatures w14:val="none"/>
              </w:rPr>
              <w:t> </w:t>
            </w:r>
          </w:p>
        </w:tc>
      </w:tr>
      <w:tr w:rsidR="00E73483" w:rsidRPr="0049393B" w14:paraId="0C378EE5" w14:textId="77777777" w:rsidTr="00364911">
        <w:trPr>
          <w:trHeight w:val="435"/>
        </w:trPr>
        <w:tc>
          <w:tcPr>
            <w:tcW w:w="2955" w:type="dxa"/>
            <w:tcBorders>
              <w:top w:val="nil"/>
              <w:left w:val="single" w:sz="6" w:space="0" w:color="auto"/>
              <w:bottom w:val="single" w:sz="6" w:space="0" w:color="auto"/>
              <w:right w:val="single" w:sz="6" w:space="0" w:color="auto"/>
            </w:tcBorders>
            <w:shd w:val="clear" w:color="auto" w:fill="CAEDFB" w:themeFill="accent4" w:themeFillTint="33"/>
            <w:vAlign w:val="center"/>
            <w:hideMark/>
          </w:tcPr>
          <w:p w14:paraId="7FAEB4B1" w14:textId="199B4974" w:rsidR="00E73483" w:rsidRPr="00364911" w:rsidRDefault="00E73483" w:rsidP="00E73483">
            <w:pPr>
              <w:spacing w:after="0" w:line="240" w:lineRule="auto"/>
              <w:textAlignment w:val="baseline"/>
              <w:rPr>
                <w:rFonts w:ascii="Arial" w:eastAsia="Times New Roman" w:hAnsi="Arial" w:cs="Arial"/>
                <w:b/>
                <w:bCs/>
                <w:color w:val="000000"/>
                <w:kern w:val="0"/>
                <w14:ligatures w14:val="none"/>
              </w:rPr>
            </w:pPr>
            <w:r w:rsidRPr="00364911">
              <w:rPr>
                <w:rFonts w:ascii="Arial" w:hAnsi="Arial" w:cs="Arial"/>
                <w:b/>
                <w:bCs/>
              </w:rPr>
              <w:t>Designee Name:</w:t>
            </w:r>
          </w:p>
        </w:tc>
        <w:tc>
          <w:tcPr>
            <w:tcW w:w="9819" w:type="dxa"/>
            <w:tcBorders>
              <w:top w:val="nil"/>
              <w:left w:val="nil"/>
              <w:bottom w:val="single" w:sz="6" w:space="0" w:color="auto"/>
              <w:right w:val="nil"/>
            </w:tcBorders>
          </w:tcPr>
          <w:p w14:paraId="6C56F43E" w14:textId="77777777" w:rsidR="00E73483" w:rsidRPr="0049393B" w:rsidRDefault="00E73483" w:rsidP="00E73483">
            <w:pPr>
              <w:spacing w:after="0" w:line="240" w:lineRule="auto"/>
              <w:textAlignment w:val="baseline"/>
              <w:rPr>
                <w:rFonts w:ascii="Calibri" w:eastAsia="Times New Roman" w:hAnsi="Calibri" w:cs="Calibri"/>
                <w:color w:val="000000"/>
                <w:kern w:val="0"/>
                <w14:ligatures w14:val="none"/>
              </w:rPr>
            </w:pPr>
          </w:p>
        </w:tc>
        <w:tc>
          <w:tcPr>
            <w:tcW w:w="198" w:type="dxa"/>
            <w:tcBorders>
              <w:top w:val="nil"/>
              <w:left w:val="nil"/>
              <w:bottom w:val="single" w:sz="6" w:space="0" w:color="auto"/>
              <w:right w:val="single" w:sz="6" w:space="0" w:color="auto"/>
            </w:tcBorders>
            <w:vAlign w:val="center"/>
            <w:hideMark/>
          </w:tcPr>
          <w:p w14:paraId="5EE4D7CC" w14:textId="77777777" w:rsidR="00E73483" w:rsidRPr="0049393B" w:rsidRDefault="00E73483" w:rsidP="00E73483">
            <w:pPr>
              <w:spacing w:after="0" w:line="240" w:lineRule="auto"/>
              <w:textAlignment w:val="baseline"/>
              <w:rPr>
                <w:rFonts w:ascii="Segoe UI" w:eastAsia="Times New Roman" w:hAnsi="Segoe UI" w:cs="Segoe UI"/>
                <w:color w:val="000000"/>
                <w:kern w:val="0"/>
                <w:sz w:val="18"/>
                <w:szCs w:val="18"/>
                <w14:ligatures w14:val="none"/>
              </w:rPr>
            </w:pPr>
            <w:r w:rsidRPr="0049393B">
              <w:rPr>
                <w:rFonts w:ascii="Calibri" w:eastAsia="Times New Roman" w:hAnsi="Calibri" w:cs="Calibri"/>
                <w:color w:val="000000"/>
                <w:kern w:val="0"/>
                <w14:ligatures w14:val="none"/>
              </w:rPr>
              <w:t>  </w:t>
            </w:r>
          </w:p>
        </w:tc>
      </w:tr>
      <w:tr w:rsidR="00E73483" w:rsidRPr="0049393B" w14:paraId="4F6E6D33" w14:textId="77777777" w:rsidTr="00364911">
        <w:trPr>
          <w:trHeight w:val="435"/>
        </w:trPr>
        <w:tc>
          <w:tcPr>
            <w:tcW w:w="2955" w:type="dxa"/>
            <w:tcBorders>
              <w:top w:val="nil"/>
              <w:left w:val="single" w:sz="6" w:space="0" w:color="auto"/>
              <w:bottom w:val="single" w:sz="6" w:space="0" w:color="auto"/>
              <w:right w:val="single" w:sz="6" w:space="0" w:color="auto"/>
            </w:tcBorders>
            <w:shd w:val="clear" w:color="auto" w:fill="CAEDFB" w:themeFill="accent4" w:themeFillTint="33"/>
            <w:vAlign w:val="center"/>
            <w:hideMark/>
          </w:tcPr>
          <w:p w14:paraId="4A719C3E" w14:textId="45F5E587" w:rsidR="00E73483" w:rsidRPr="00364911" w:rsidRDefault="00E73483" w:rsidP="00E73483">
            <w:pPr>
              <w:spacing w:after="0" w:line="240" w:lineRule="auto"/>
              <w:textAlignment w:val="baseline"/>
              <w:rPr>
                <w:rFonts w:ascii="Arial" w:eastAsia="Times New Roman" w:hAnsi="Arial" w:cs="Arial"/>
                <w:b/>
                <w:bCs/>
                <w:color w:val="000000"/>
                <w:kern w:val="0"/>
                <w14:ligatures w14:val="none"/>
              </w:rPr>
            </w:pPr>
            <w:r w:rsidRPr="00364911">
              <w:rPr>
                <w:rFonts w:ascii="Arial" w:hAnsi="Arial" w:cs="Arial"/>
                <w:b/>
                <w:bCs/>
              </w:rPr>
              <w:t>Designee Title</w:t>
            </w:r>
            <w:r w:rsidR="00C7021A">
              <w:rPr>
                <w:rFonts w:ascii="Arial" w:hAnsi="Arial" w:cs="Arial"/>
                <w:b/>
                <w:bCs/>
              </w:rPr>
              <w:t>:</w:t>
            </w:r>
          </w:p>
        </w:tc>
        <w:tc>
          <w:tcPr>
            <w:tcW w:w="9819" w:type="dxa"/>
            <w:tcBorders>
              <w:top w:val="nil"/>
              <w:left w:val="nil"/>
              <w:bottom w:val="single" w:sz="6" w:space="0" w:color="auto"/>
              <w:right w:val="nil"/>
            </w:tcBorders>
          </w:tcPr>
          <w:p w14:paraId="0383C115" w14:textId="77777777" w:rsidR="00E73483" w:rsidRPr="0049393B" w:rsidRDefault="00E73483" w:rsidP="00E73483">
            <w:pPr>
              <w:spacing w:after="0" w:line="240" w:lineRule="auto"/>
              <w:textAlignment w:val="baseline"/>
              <w:rPr>
                <w:rFonts w:ascii="Calibri" w:eastAsia="Times New Roman" w:hAnsi="Calibri" w:cs="Calibri"/>
                <w:color w:val="000000"/>
                <w:kern w:val="0"/>
                <w14:ligatures w14:val="none"/>
              </w:rPr>
            </w:pPr>
          </w:p>
        </w:tc>
        <w:tc>
          <w:tcPr>
            <w:tcW w:w="198" w:type="dxa"/>
            <w:tcBorders>
              <w:top w:val="nil"/>
              <w:left w:val="nil"/>
              <w:bottom w:val="single" w:sz="6" w:space="0" w:color="auto"/>
              <w:right w:val="single" w:sz="6" w:space="0" w:color="auto"/>
            </w:tcBorders>
            <w:vAlign w:val="center"/>
            <w:hideMark/>
          </w:tcPr>
          <w:p w14:paraId="7092EBD6" w14:textId="77777777" w:rsidR="00E73483" w:rsidRPr="0049393B" w:rsidRDefault="00E73483" w:rsidP="00E73483">
            <w:pPr>
              <w:spacing w:after="0" w:line="240" w:lineRule="auto"/>
              <w:textAlignment w:val="baseline"/>
              <w:rPr>
                <w:rFonts w:ascii="Segoe UI" w:eastAsia="Times New Roman" w:hAnsi="Segoe UI" w:cs="Segoe UI"/>
                <w:color w:val="000000"/>
                <w:kern w:val="0"/>
                <w:sz w:val="18"/>
                <w:szCs w:val="18"/>
                <w14:ligatures w14:val="none"/>
              </w:rPr>
            </w:pPr>
            <w:r w:rsidRPr="0049393B">
              <w:rPr>
                <w:rFonts w:ascii="Calibri" w:eastAsia="Times New Roman" w:hAnsi="Calibri" w:cs="Calibri"/>
                <w:color w:val="000000"/>
                <w:kern w:val="0"/>
                <w14:ligatures w14:val="none"/>
              </w:rPr>
              <w:t>  </w:t>
            </w:r>
          </w:p>
        </w:tc>
      </w:tr>
      <w:tr w:rsidR="00E73483" w:rsidRPr="0049393B" w14:paraId="68122205" w14:textId="77777777" w:rsidTr="00364911">
        <w:trPr>
          <w:trHeight w:val="435"/>
        </w:trPr>
        <w:tc>
          <w:tcPr>
            <w:tcW w:w="2955" w:type="dxa"/>
            <w:tcBorders>
              <w:top w:val="nil"/>
              <w:left w:val="single" w:sz="6" w:space="0" w:color="auto"/>
              <w:bottom w:val="single" w:sz="6" w:space="0" w:color="auto"/>
              <w:right w:val="single" w:sz="6" w:space="0" w:color="auto"/>
            </w:tcBorders>
            <w:shd w:val="clear" w:color="auto" w:fill="CAEDFB" w:themeFill="accent4" w:themeFillTint="33"/>
            <w:vAlign w:val="center"/>
            <w:hideMark/>
          </w:tcPr>
          <w:p w14:paraId="5A600C20" w14:textId="58B38468" w:rsidR="00E73483" w:rsidRPr="00364911" w:rsidRDefault="00E73483" w:rsidP="00E73483">
            <w:pPr>
              <w:spacing w:after="0" w:line="240" w:lineRule="auto"/>
              <w:textAlignment w:val="baseline"/>
              <w:rPr>
                <w:rFonts w:ascii="Arial" w:eastAsia="Times New Roman" w:hAnsi="Arial" w:cs="Arial"/>
                <w:b/>
                <w:bCs/>
                <w:color w:val="000000"/>
                <w:kern w:val="0"/>
                <w14:ligatures w14:val="none"/>
              </w:rPr>
            </w:pPr>
            <w:r w:rsidRPr="00364911">
              <w:rPr>
                <w:rFonts w:ascii="Arial" w:hAnsi="Arial" w:cs="Arial"/>
                <w:b/>
                <w:bCs/>
              </w:rPr>
              <w:t>Designee Email Address:</w:t>
            </w:r>
          </w:p>
        </w:tc>
        <w:tc>
          <w:tcPr>
            <w:tcW w:w="9819" w:type="dxa"/>
            <w:tcBorders>
              <w:top w:val="nil"/>
              <w:left w:val="nil"/>
              <w:bottom w:val="single" w:sz="6" w:space="0" w:color="auto"/>
              <w:right w:val="nil"/>
            </w:tcBorders>
          </w:tcPr>
          <w:p w14:paraId="31BE1638" w14:textId="77777777" w:rsidR="00E73483" w:rsidRPr="0049393B" w:rsidRDefault="00E73483" w:rsidP="00E73483">
            <w:pPr>
              <w:spacing w:after="0" w:line="240" w:lineRule="auto"/>
              <w:textAlignment w:val="baseline"/>
              <w:rPr>
                <w:rFonts w:ascii="Calibri" w:eastAsia="Times New Roman" w:hAnsi="Calibri" w:cs="Calibri"/>
                <w:color w:val="000000"/>
                <w:kern w:val="0"/>
                <w14:ligatures w14:val="none"/>
              </w:rPr>
            </w:pPr>
          </w:p>
        </w:tc>
        <w:tc>
          <w:tcPr>
            <w:tcW w:w="198" w:type="dxa"/>
            <w:tcBorders>
              <w:top w:val="nil"/>
              <w:left w:val="nil"/>
              <w:bottom w:val="single" w:sz="6" w:space="0" w:color="auto"/>
              <w:right w:val="single" w:sz="6" w:space="0" w:color="auto"/>
            </w:tcBorders>
            <w:vAlign w:val="center"/>
            <w:hideMark/>
          </w:tcPr>
          <w:p w14:paraId="64674014" w14:textId="77777777" w:rsidR="00E73483" w:rsidRPr="0049393B" w:rsidRDefault="00E73483" w:rsidP="00E73483">
            <w:pPr>
              <w:spacing w:after="0" w:line="240" w:lineRule="auto"/>
              <w:textAlignment w:val="baseline"/>
              <w:rPr>
                <w:rFonts w:ascii="Segoe UI" w:eastAsia="Times New Roman" w:hAnsi="Segoe UI" w:cs="Segoe UI"/>
                <w:color w:val="000000"/>
                <w:kern w:val="0"/>
                <w:sz w:val="18"/>
                <w:szCs w:val="18"/>
                <w14:ligatures w14:val="none"/>
              </w:rPr>
            </w:pPr>
            <w:r w:rsidRPr="0049393B">
              <w:rPr>
                <w:rFonts w:ascii="Calibri" w:eastAsia="Times New Roman" w:hAnsi="Calibri" w:cs="Calibri"/>
                <w:color w:val="000000"/>
                <w:kern w:val="0"/>
                <w14:ligatures w14:val="none"/>
              </w:rPr>
              <w:t>  </w:t>
            </w:r>
          </w:p>
        </w:tc>
      </w:tr>
      <w:tr w:rsidR="00E73483" w:rsidRPr="0049393B" w14:paraId="767D5F54" w14:textId="77777777" w:rsidTr="00364911">
        <w:trPr>
          <w:gridAfter w:val="1"/>
          <w:wAfter w:w="198" w:type="dxa"/>
          <w:trHeight w:val="435"/>
        </w:trPr>
        <w:tc>
          <w:tcPr>
            <w:tcW w:w="2955" w:type="dxa"/>
            <w:tcBorders>
              <w:top w:val="nil"/>
              <w:left w:val="single" w:sz="6" w:space="0" w:color="auto"/>
              <w:bottom w:val="single" w:sz="6" w:space="0" w:color="auto"/>
              <w:right w:val="single" w:sz="6" w:space="0" w:color="auto"/>
            </w:tcBorders>
            <w:shd w:val="clear" w:color="auto" w:fill="CAEDFB" w:themeFill="accent4" w:themeFillTint="33"/>
            <w:vAlign w:val="center"/>
            <w:hideMark/>
          </w:tcPr>
          <w:p w14:paraId="3F5C48F6" w14:textId="5AD768B4" w:rsidR="00E73483" w:rsidRPr="00364911" w:rsidRDefault="00E73483" w:rsidP="00E73483">
            <w:pPr>
              <w:spacing w:after="0" w:line="240" w:lineRule="auto"/>
              <w:textAlignment w:val="baseline"/>
              <w:rPr>
                <w:rFonts w:ascii="Arial" w:eastAsia="Times New Roman" w:hAnsi="Arial" w:cs="Arial"/>
                <w:b/>
                <w:bCs/>
                <w:color w:val="000000"/>
                <w:kern w:val="0"/>
                <w14:ligatures w14:val="none"/>
              </w:rPr>
            </w:pPr>
            <w:r w:rsidRPr="00364911">
              <w:rPr>
                <w:rFonts w:ascii="Arial" w:hAnsi="Arial" w:cs="Arial"/>
                <w:b/>
                <w:bCs/>
              </w:rPr>
              <w:t>Date of Submission:</w:t>
            </w:r>
          </w:p>
        </w:tc>
        <w:tc>
          <w:tcPr>
            <w:tcW w:w="9819" w:type="dxa"/>
            <w:tcBorders>
              <w:top w:val="nil"/>
              <w:left w:val="nil"/>
              <w:bottom w:val="single" w:sz="6" w:space="0" w:color="auto"/>
              <w:right w:val="nil"/>
            </w:tcBorders>
          </w:tcPr>
          <w:p w14:paraId="5267E307" w14:textId="77777777" w:rsidR="00E73483" w:rsidRPr="0049393B" w:rsidRDefault="00E73483" w:rsidP="00E73483">
            <w:pPr>
              <w:spacing w:after="0" w:line="240" w:lineRule="auto"/>
              <w:textAlignment w:val="baseline"/>
              <w:rPr>
                <w:rFonts w:ascii="Calibri" w:eastAsia="Times New Roman" w:hAnsi="Calibri" w:cs="Calibri"/>
                <w:color w:val="000000"/>
                <w:kern w:val="0"/>
                <w14:ligatures w14:val="none"/>
              </w:rPr>
            </w:pPr>
          </w:p>
        </w:tc>
      </w:tr>
      <w:tr w:rsidR="00E73483" w:rsidRPr="0049393B" w14:paraId="7D1AC3C8" w14:textId="77777777" w:rsidTr="00364911">
        <w:trPr>
          <w:gridAfter w:val="1"/>
          <w:wAfter w:w="198" w:type="dxa"/>
          <w:trHeight w:val="435"/>
        </w:trPr>
        <w:tc>
          <w:tcPr>
            <w:tcW w:w="2955" w:type="dxa"/>
            <w:tcBorders>
              <w:top w:val="nil"/>
              <w:left w:val="single" w:sz="6" w:space="0" w:color="auto"/>
              <w:bottom w:val="single" w:sz="6" w:space="0" w:color="auto"/>
              <w:right w:val="single" w:sz="6" w:space="0" w:color="auto"/>
            </w:tcBorders>
            <w:shd w:val="clear" w:color="auto" w:fill="CAEDFB" w:themeFill="accent4" w:themeFillTint="33"/>
            <w:vAlign w:val="center"/>
            <w:hideMark/>
          </w:tcPr>
          <w:p w14:paraId="42BF06E9" w14:textId="54EA768D" w:rsidR="00E73483" w:rsidRPr="00364911" w:rsidRDefault="00E73483" w:rsidP="00E73483">
            <w:pPr>
              <w:spacing w:after="0" w:line="240" w:lineRule="auto"/>
              <w:textAlignment w:val="baseline"/>
              <w:rPr>
                <w:rFonts w:ascii="Arial" w:eastAsia="Times New Roman" w:hAnsi="Arial" w:cs="Arial"/>
                <w:b/>
                <w:bCs/>
                <w:color w:val="000000"/>
                <w:kern w:val="0"/>
                <w14:ligatures w14:val="none"/>
              </w:rPr>
            </w:pPr>
            <w:r w:rsidRPr="00364911">
              <w:rPr>
                <w:rFonts w:ascii="Arial" w:hAnsi="Arial" w:cs="Arial"/>
                <w:b/>
                <w:bCs/>
              </w:rPr>
              <w:t>Comments:</w:t>
            </w:r>
          </w:p>
        </w:tc>
        <w:tc>
          <w:tcPr>
            <w:tcW w:w="9819" w:type="dxa"/>
            <w:tcBorders>
              <w:top w:val="nil"/>
              <w:left w:val="nil"/>
              <w:bottom w:val="single" w:sz="6" w:space="0" w:color="auto"/>
              <w:right w:val="nil"/>
            </w:tcBorders>
          </w:tcPr>
          <w:p w14:paraId="3578F9FA" w14:textId="77777777" w:rsidR="00E73483" w:rsidRPr="0049393B" w:rsidRDefault="00E73483" w:rsidP="00E73483">
            <w:pPr>
              <w:spacing w:after="0" w:line="240" w:lineRule="auto"/>
              <w:textAlignment w:val="baseline"/>
              <w:rPr>
                <w:rFonts w:ascii="Calibri" w:eastAsia="Times New Roman" w:hAnsi="Calibri" w:cs="Calibri"/>
                <w:color w:val="000000"/>
                <w:kern w:val="0"/>
                <w14:ligatures w14:val="none"/>
              </w:rPr>
            </w:pPr>
          </w:p>
        </w:tc>
      </w:tr>
    </w:tbl>
    <w:p w14:paraId="42809E22" w14:textId="77777777" w:rsidR="006D194A" w:rsidRDefault="006D194A" w:rsidP="00594CA0">
      <w:pPr>
        <w:spacing w:after="0" w:line="240" w:lineRule="auto"/>
        <w:textAlignment w:val="baseline"/>
        <w:rPr>
          <w:rFonts w:ascii="Arial" w:eastAsia="Times New Roman" w:hAnsi="Arial" w:cs="Arial"/>
          <w:b/>
          <w:bCs/>
          <w:color w:val="000000"/>
          <w:kern w:val="0"/>
          <w:sz w:val="20"/>
          <w:szCs w:val="20"/>
          <w14:ligatures w14:val="none"/>
        </w:rPr>
      </w:pPr>
    </w:p>
    <w:tbl>
      <w:tblPr>
        <w:tblW w:w="12953" w:type="dxa"/>
        <w:tblInd w:w="-3" w:type="dxa"/>
        <w:tblCellMar>
          <w:left w:w="0" w:type="dxa"/>
          <w:right w:w="0" w:type="dxa"/>
        </w:tblCellMar>
        <w:tblLook w:val="04A0" w:firstRow="1" w:lastRow="0" w:firstColumn="1" w:lastColumn="0" w:noHBand="0" w:noVBand="1"/>
      </w:tblPr>
      <w:tblGrid>
        <w:gridCol w:w="12953"/>
      </w:tblGrid>
      <w:tr w:rsidR="00FF4038" w:rsidRPr="00BD59FA" w14:paraId="26A40412" w14:textId="77777777" w:rsidTr="004444A4">
        <w:trPr>
          <w:trHeight w:val="300"/>
        </w:trPr>
        <w:tc>
          <w:tcPr>
            <w:tcW w:w="12953" w:type="dxa"/>
            <w:tcBorders>
              <w:top w:val="single" w:sz="8" w:space="0" w:color="auto"/>
              <w:left w:val="single" w:sz="8" w:space="0" w:color="auto"/>
              <w:right w:val="single" w:sz="8" w:space="0" w:color="000000"/>
            </w:tcBorders>
            <w:shd w:val="clear" w:color="auto" w:fill="F2F2F2"/>
            <w:noWrap/>
            <w:tcMar>
              <w:top w:w="0" w:type="dxa"/>
              <w:left w:w="108" w:type="dxa"/>
              <w:bottom w:w="0" w:type="dxa"/>
              <w:right w:w="108" w:type="dxa"/>
            </w:tcMar>
            <w:vAlign w:val="bottom"/>
            <w:hideMark/>
          </w:tcPr>
          <w:p w14:paraId="3C9476F2" w14:textId="77777777" w:rsidR="00FF4038" w:rsidRPr="00BD59FA" w:rsidRDefault="00FF4038" w:rsidP="004444A4">
            <w:pPr>
              <w:spacing w:after="0"/>
              <w:rPr>
                <w:rFonts w:ascii="Arial" w:hAnsi="Arial" w:cs="Arial"/>
                <w:b/>
                <w:bCs/>
              </w:rPr>
            </w:pPr>
            <w:r w:rsidRPr="00BD59FA">
              <w:rPr>
                <w:rFonts w:ascii="Arial" w:hAnsi="Arial" w:cs="Arial"/>
                <w:b/>
                <w:bCs/>
              </w:rPr>
              <w:t>Certificatio</w:t>
            </w:r>
            <w:r>
              <w:rPr>
                <w:rFonts w:ascii="Arial" w:hAnsi="Arial" w:cs="Arial"/>
                <w:b/>
                <w:bCs/>
              </w:rPr>
              <w:t>n</w:t>
            </w:r>
          </w:p>
        </w:tc>
      </w:tr>
      <w:tr w:rsidR="00FF4038" w:rsidRPr="00BD59FA" w14:paraId="2E39B4E1" w14:textId="77777777" w:rsidTr="004444A4">
        <w:trPr>
          <w:trHeight w:val="1008"/>
        </w:trPr>
        <w:tc>
          <w:tcPr>
            <w:tcW w:w="1295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D3CFE6D" w14:textId="77777777" w:rsidR="00FF4038" w:rsidRDefault="00FF4038" w:rsidP="004444A4">
            <w:pPr>
              <w:rPr>
                <w:rFonts w:ascii="Arial" w:hAnsi="Arial" w:cs="Arial"/>
                <w:i/>
                <w:iCs/>
              </w:rPr>
            </w:pPr>
            <w:r w:rsidRPr="00BD59FA">
              <w:rPr>
                <w:rFonts w:ascii="Arial" w:hAnsi="Arial" w:cs="Arial"/>
                <w:i/>
                <w:iCs/>
              </w:rPr>
              <w:t xml:space="preserve">I hereby attest that the information provided in </w:t>
            </w:r>
            <w:r>
              <w:rPr>
                <w:rFonts w:ascii="Arial" w:hAnsi="Arial" w:cs="Arial"/>
                <w:i/>
                <w:iCs/>
              </w:rPr>
              <w:t xml:space="preserve">this </w:t>
            </w:r>
            <w:r w:rsidRPr="00BD59FA">
              <w:rPr>
                <w:rFonts w:ascii="Arial" w:hAnsi="Arial" w:cs="Arial"/>
                <w:i/>
                <w:iCs/>
              </w:rPr>
              <w:t xml:space="preserve">filing is true and accurate to the best of my knowledge and belief as of the date of filing.  I further attest that this filing is complete and includes all documents required by the Office of Superintendent to demonstrate compliance with the Insurance Code, NMSA 1978, Chapter 59A </w:t>
            </w:r>
          </w:p>
          <w:p w14:paraId="27F99E46" w14:textId="77777777" w:rsidR="00FF4038" w:rsidRPr="00307EDE" w:rsidRDefault="00FF4038" w:rsidP="004444A4">
            <w:pPr>
              <w:rPr>
                <w:rFonts w:ascii="Arial" w:hAnsi="Arial" w:cs="Arial"/>
                <w:b/>
                <w:bCs/>
              </w:rPr>
            </w:pPr>
            <w:r w:rsidRPr="00BD59FA">
              <w:rPr>
                <w:rFonts w:ascii="Arial" w:hAnsi="Arial" w:cs="Arial"/>
              </w:rPr>
              <w:br/>
              <w:t>Insert an electronic signature of the designee to the right:</w:t>
            </w:r>
            <w:r>
              <w:rPr>
                <w:rFonts w:ascii="Arial" w:hAnsi="Arial" w:cs="Arial"/>
              </w:rPr>
              <w:t xml:space="preserve">                   </w:t>
            </w:r>
            <w:r w:rsidRPr="00BD59FA">
              <w:rPr>
                <w:rFonts w:ascii="Arial" w:hAnsi="Arial" w:cs="Arial"/>
                <w:b/>
                <w:bCs/>
              </w:rPr>
              <w:t>X ___________________________________________</w:t>
            </w:r>
          </w:p>
        </w:tc>
      </w:tr>
    </w:tbl>
    <w:p w14:paraId="76DCE038" w14:textId="77777777" w:rsidR="00FF4038" w:rsidRDefault="00FF4038" w:rsidP="00FF4038">
      <w:pPr>
        <w:spacing w:after="0" w:line="240" w:lineRule="auto"/>
        <w:textAlignment w:val="baseline"/>
        <w:rPr>
          <w:rFonts w:ascii="Arial" w:eastAsia="Times New Roman" w:hAnsi="Arial" w:cs="Arial"/>
          <w:b/>
          <w:bCs/>
          <w:color w:val="000000"/>
          <w:kern w:val="0"/>
          <w:sz w:val="20"/>
          <w:szCs w:val="20"/>
          <w14:ligatures w14:val="none"/>
        </w:rPr>
      </w:pPr>
    </w:p>
    <w:p w14:paraId="1292C54C" w14:textId="77777777" w:rsidR="00FF4038" w:rsidRDefault="00FF4038" w:rsidP="00FF4038">
      <w:pPr>
        <w:pStyle w:val="paragraph"/>
        <w:spacing w:before="0" w:beforeAutospacing="0" w:after="0" w:afterAutospacing="0"/>
        <w:textAlignment w:val="baseline"/>
        <w:rPr>
          <w:rStyle w:val="normaltextrun"/>
          <w:rFonts w:ascii="Arial" w:eastAsiaTheme="majorEastAsia" w:hAnsi="Arial" w:cs="Arial"/>
          <w:b/>
          <w:bCs/>
          <w:color w:val="FFFFFF" w:themeColor="background1"/>
        </w:rPr>
      </w:pPr>
    </w:p>
    <w:p w14:paraId="2857BA85" w14:textId="77777777" w:rsidR="00044F32" w:rsidRDefault="00044F32" w:rsidP="00FF4038">
      <w:pPr>
        <w:pStyle w:val="paragraph"/>
        <w:spacing w:before="0" w:beforeAutospacing="0" w:after="0" w:afterAutospacing="0"/>
        <w:textAlignment w:val="baseline"/>
        <w:rPr>
          <w:rStyle w:val="normaltextrun"/>
          <w:rFonts w:ascii="Arial" w:eastAsiaTheme="majorEastAsia" w:hAnsi="Arial" w:cs="Arial"/>
          <w:b/>
          <w:bCs/>
          <w:color w:val="FFFFFF" w:themeColor="background1"/>
        </w:rPr>
      </w:pPr>
    </w:p>
    <w:p w14:paraId="0A4BE8CD" w14:textId="77777777" w:rsidR="00044F32" w:rsidRDefault="00044F32" w:rsidP="00FF4038">
      <w:pPr>
        <w:pStyle w:val="paragraph"/>
        <w:spacing w:before="0" w:beforeAutospacing="0" w:after="0" w:afterAutospacing="0"/>
        <w:textAlignment w:val="baseline"/>
        <w:rPr>
          <w:rStyle w:val="normaltextrun"/>
          <w:rFonts w:ascii="Arial" w:eastAsiaTheme="majorEastAsia" w:hAnsi="Arial" w:cs="Arial"/>
          <w:b/>
          <w:bCs/>
          <w:color w:val="FFFFFF" w:themeColor="background1"/>
        </w:rPr>
      </w:pPr>
    </w:p>
    <w:p w14:paraId="2669440B" w14:textId="77777777" w:rsidR="00044F32" w:rsidRDefault="00044F32" w:rsidP="00FF4038">
      <w:pPr>
        <w:pStyle w:val="paragraph"/>
        <w:spacing w:before="0" w:beforeAutospacing="0" w:after="0" w:afterAutospacing="0"/>
        <w:textAlignment w:val="baseline"/>
        <w:rPr>
          <w:rStyle w:val="normaltextrun"/>
          <w:rFonts w:ascii="Arial" w:eastAsiaTheme="majorEastAsia" w:hAnsi="Arial" w:cs="Arial"/>
          <w:b/>
          <w:bCs/>
          <w:color w:val="FFFFFF" w:themeColor="background1"/>
        </w:rPr>
      </w:pPr>
    </w:p>
    <w:p w14:paraId="2E3477CF" w14:textId="77777777" w:rsidR="00044F32" w:rsidRDefault="00044F32" w:rsidP="00FF4038">
      <w:pPr>
        <w:pStyle w:val="paragraph"/>
        <w:spacing w:before="0" w:beforeAutospacing="0" w:after="0" w:afterAutospacing="0"/>
        <w:textAlignment w:val="baseline"/>
        <w:rPr>
          <w:rStyle w:val="normaltextrun"/>
          <w:rFonts w:ascii="Arial" w:eastAsiaTheme="majorEastAsia" w:hAnsi="Arial" w:cs="Arial"/>
          <w:b/>
          <w:bCs/>
          <w:color w:val="FFFFFF" w:themeColor="background1"/>
        </w:rPr>
      </w:pPr>
    </w:p>
    <w:p w14:paraId="4761779C" w14:textId="77777777" w:rsidR="00044F32" w:rsidRDefault="00044F32" w:rsidP="00FF4038">
      <w:pPr>
        <w:pStyle w:val="paragraph"/>
        <w:spacing w:before="0" w:beforeAutospacing="0" w:after="0" w:afterAutospacing="0"/>
        <w:textAlignment w:val="baseline"/>
        <w:rPr>
          <w:rStyle w:val="normaltextrun"/>
          <w:rFonts w:ascii="Arial" w:eastAsiaTheme="majorEastAsia" w:hAnsi="Arial" w:cs="Arial"/>
          <w:b/>
          <w:bCs/>
          <w:color w:val="FFFFFF" w:themeColor="background1"/>
        </w:rPr>
      </w:pPr>
    </w:p>
    <w:p w14:paraId="206F5DF7" w14:textId="77777777" w:rsidR="00044F32" w:rsidRDefault="00044F32" w:rsidP="00FF4038">
      <w:pPr>
        <w:pStyle w:val="paragraph"/>
        <w:spacing w:before="0" w:beforeAutospacing="0" w:after="0" w:afterAutospacing="0"/>
        <w:textAlignment w:val="baseline"/>
        <w:rPr>
          <w:rStyle w:val="normaltextrun"/>
          <w:rFonts w:ascii="Arial" w:eastAsiaTheme="majorEastAsia" w:hAnsi="Arial" w:cs="Arial"/>
          <w:b/>
          <w:bCs/>
          <w:color w:val="FFFFFF" w:themeColor="background1"/>
        </w:rPr>
      </w:pPr>
    </w:p>
    <w:p w14:paraId="6FA96B73" w14:textId="77777777" w:rsidR="00044F32" w:rsidRDefault="00044F32" w:rsidP="00FF4038">
      <w:pPr>
        <w:pStyle w:val="paragraph"/>
        <w:spacing w:before="0" w:beforeAutospacing="0" w:after="0" w:afterAutospacing="0"/>
        <w:textAlignment w:val="baseline"/>
        <w:rPr>
          <w:rStyle w:val="normaltextrun"/>
          <w:rFonts w:ascii="Arial" w:eastAsiaTheme="majorEastAsia" w:hAnsi="Arial" w:cs="Arial"/>
          <w:b/>
          <w:bCs/>
          <w:color w:val="FFFFFF" w:themeColor="background1"/>
        </w:rPr>
      </w:pPr>
    </w:p>
    <w:p w14:paraId="06642767" w14:textId="77777777" w:rsidR="00044F32" w:rsidRDefault="00044F32" w:rsidP="00FF4038">
      <w:pPr>
        <w:pStyle w:val="paragraph"/>
        <w:spacing w:before="0" w:beforeAutospacing="0" w:after="0" w:afterAutospacing="0"/>
        <w:textAlignment w:val="baseline"/>
        <w:rPr>
          <w:rStyle w:val="normaltextrun"/>
          <w:rFonts w:ascii="Arial" w:eastAsiaTheme="majorEastAsia" w:hAnsi="Arial" w:cs="Arial"/>
          <w:b/>
          <w:bCs/>
          <w:color w:val="FFFFFF" w:themeColor="background1"/>
        </w:rPr>
      </w:pPr>
    </w:p>
    <w:p w14:paraId="14DBEB9A" w14:textId="77777777" w:rsidR="006D194A" w:rsidRDefault="006D194A" w:rsidP="00594CA0">
      <w:pPr>
        <w:spacing w:after="0" w:line="240" w:lineRule="auto"/>
        <w:textAlignment w:val="baseline"/>
        <w:rPr>
          <w:rFonts w:ascii="Arial" w:eastAsia="Times New Roman" w:hAnsi="Arial" w:cs="Arial"/>
          <w:b/>
          <w:bCs/>
          <w:color w:val="000000"/>
          <w:kern w:val="0"/>
          <w:sz w:val="20"/>
          <w:szCs w:val="20"/>
          <w14:ligatures w14:val="none"/>
        </w:rPr>
      </w:pPr>
    </w:p>
    <w:tbl>
      <w:tblPr>
        <w:tblpPr w:leftFromText="180" w:rightFromText="180" w:vertAnchor="text" w:tblpY="1"/>
        <w:tblOverlap w:val="never"/>
        <w:tblW w:w="129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65"/>
      </w:tblGrid>
      <w:tr w:rsidR="006D194A" w:rsidRPr="0049393B" w14:paraId="5A0E3E96" w14:textId="77777777" w:rsidTr="00102FC6">
        <w:trPr>
          <w:trHeight w:val="435"/>
        </w:trPr>
        <w:tc>
          <w:tcPr>
            <w:tcW w:w="12952" w:type="dxa"/>
            <w:tcBorders>
              <w:top w:val="nil"/>
              <w:left w:val="single" w:sz="6" w:space="0" w:color="auto"/>
              <w:bottom w:val="single" w:sz="6" w:space="0" w:color="auto"/>
              <w:right w:val="single" w:sz="6" w:space="0" w:color="auto"/>
            </w:tcBorders>
            <w:shd w:val="clear" w:color="auto" w:fill="CAEDFB" w:themeFill="accent4" w:themeFillTint="33"/>
            <w:vAlign w:val="center"/>
            <w:hideMark/>
          </w:tcPr>
          <w:tbl>
            <w:tblPr>
              <w:tblStyle w:val="TableGrid"/>
              <w:tblpPr w:leftFromText="180" w:rightFromText="180" w:vertAnchor="text" w:tblpY="16"/>
              <w:tblW w:w="12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0"/>
            </w:tblGrid>
            <w:tr w:rsidR="006D194A" w:rsidRPr="00B82725" w14:paraId="5ABF38A9" w14:textId="77777777" w:rsidTr="00102FC6">
              <w:tc>
                <w:tcPr>
                  <w:tcW w:w="12950" w:type="dxa"/>
                  <w:shd w:val="clear" w:color="auto" w:fill="0F9ED5" w:themeFill="accent4"/>
                </w:tcPr>
                <w:p w14:paraId="53EA334F" w14:textId="1197561C" w:rsidR="006D194A" w:rsidRPr="00B82725" w:rsidRDefault="00F479DF" w:rsidP="00F479DF">
                  <w:pPr>
                    <w:pStyle w:val="paragraph"/>
                    <w:spacing w:before="0" w:beforeAutospacing="0" w:after="0" w:afterAutospacing="0"/>
                    <w:textAlignment w:val="baseline"/>
                    <w:rPr>
                      <w:rStyle w:val="normaltextrun"/>
                      <w:rFonts w:ascii="Arial" w:eastAsiaTheme="majorEastAsia" w:hAnsi="Arial" w:cs="Arial"/>
                      <w:b/>
                      <w:bCs/>
                      <w:color w:val="FFFFFF" w:themeColor="background1"/>
                      <w:sz w:val="28"/>
                      <w:szCs w:val="28"/>
                    </w:rPr>
                  </w:pPr>
                  <w:r>
                    <w:rPr>
                      <w:rStyle w:val="normaltextrun"/>
                      <w:rFonts w:ascii="Arial" w:eastAsiaTheme="majorEastAsia" w:hAnsi="Arial" w:cs="Arial"/>
                      <w:b/>
                      <w:bCs/>
                      <w:color w:val="FFFFFF" w:themeColor="background1"/>
                      <w:sz w:val="28"/>
                      <w:szCs w:val="28"/>
                    </w:rPr>
                    <w:t xml:space="preserve">4. </w:t>
                  </w:r>
                  <w:r w:rsidR="006D194A" w:rsidRPr="00B82725">
                    <w:rPr>
                      <w:rStyle w:val="normaltextrun"/>
                      <w:rFonts w:ascii="Arial" w:eastAsiaTheme="majorEastAsia" w:hAnsi="Arial" w:cs="Arial"/>
                      <w:b/>
                      <w:bCs/>
                      <w:color w:val="FFFFFF" w:themeColor="background1"/>
                      <w:sz w:val="28"/>
                      <w:szCs w:val="28"/>
                    </w:rPr>
                    <w:t>Designated Commercial Products information</w:t>
                  </w:r>
                </w:p>
              </w:tc>
            </w:tr>
          </w:tbl>
          <w:p w14:paraId="74ED98DD" w14:textId="5490B6DC" w:rsidR="006D194A" w:rsidRPr="0049393B" w:rsidRDefault="006D194A" w:rsidP="003D6D08">
            <w:pPr>
              <w:spacing w:after="0" w:line="240" w:lineRule="auto"/>
              <w:textAlignment w:val="baseline"/>
              <w:rPr>
                <w:rFonts w:ascii="Segoe UI" w:eastAsia="Times New Roman" w:hAnsi="Segoe UI" w:cs="Segoe UI"/>
                <w:color w:val="000000"/>
                <w:kern w:val="0"/>
                <w:sz w:val="18"/>
                <w:szCs w:val="18"/>
                <w14:ligatures w14:val="none"/>
              </w:rPr>
            </w:pPr>
            <w:r w:rsidRPr="00102FC6">
              <w:rPr>
                <w:rFonts w:ascii="Arial" w:hAnsi="Arial" w:cs="Arial"/>
                <w:b/>
                <w:bCs/>
                <w:sz w:val="20"/>
                <w:szCs w:val="20"/>
                <w:shd w:val="clear" w:color="auto" w:fill="CAEDFB" w:themeFill="accent4" w:themeFillTint="33"/>
              </w:rPr>
              <w:t xml:space="preserve">The purpose of this section is to verify your commercial product markets/types and average monthly enrollment for the data you will be providing for all documents that are part of this data call, within the reporting </w:t>
            </w:r>
            <w:proofErr w:type="gramStart"/>
            <w:r w:rsidRPr="00102FC6">
              <w:rPr>
                <w:rFonts w:ascii="Arial" w:hAnsi="Arial" w:cs="Arial"/>
                <w:b/>
                <w:bCs/>
                <w:sz w:val="20"/>
                <w:szCs w:val="20"/>
                <w:shd w:val="clear" w:color="auto" w:fill="CAEDFB" w:themeFill="accent4" w:themeFillTint="33"/>
              </w:rPr>
              <w:t>period—i</w:t>
            </w:r>
            <w:proofErr w:type="gramEnd"/>
            <w:r w:rsidRPr="00102FC6">
              <w:rPr>
                <w:rFonts w:ascii="Arial" w:hAnsi="Arial" w:cs="Arial"/>
                <w:b/>
                <w:bCs/>
                <w:sz w:val="20"/>
                <w:szCs w:val="20"/>
                <w:shd w:val="clear" w:color="auto" w:fill="CAEDFB" w:themeFill="accent4" w:themeFillTint="33"/>
              </w:rPr>
              <w:t>.</w:t>
            </w:r>
            <w:proofErr w:type="gramStart"/>
            <w:r w:rsidRPr="00102FC6">
              <w:rPr>
                <w:rFonts w:ascii="Arial" w:hAnsi="Arial" w:cs="Arial"/>
                <w:b/>
                <w:bCs/>
                <w:sz w:val="20"/>
                <w:szCs w:val="20"/>
                <w:shd w:val="clear" w:color="auto" w:fill="CAEDFB" w:themeFill="accent4" w:themeFillTint="33"/>
              </w:rPr>
              <w:t>e.,</w:t>
            </w:r>
            <w:proofErr w:type="gramEnd"/>
            <w:r w:rsidRPr="00102FC6">
              <w:rPr>
                <w:rFonts w:ascii="Arial" w:hAnsi="Arial" w:cs="Arial"/>
                <w:b/>
                <w:bCs/>
                <w:sz w:val="20"/>
                <w:szCs w:val="20"/>
                <w:shd w:val="clear" w:color="auto" w:fill="CAEDFB" w:themeFill="accent4" w:themeFillTint="33"/>
              </w:rPr>
              <w:t xml:space="preserve"> January 1, 202</w:t>
            </w:r>
            <w:r w:rsidR="00151872">
              <w:rPr>
                <w:rFonts w:ascii="Arial" w:hAnsi="Arial" w:cs="Arial"/>
                <w:b/>
                <w:bCs/>
                <w:sz w:val="20"/>
                <w:szCs w:val="20"/>
                <w:shd w:val="clear" w:color="auto" w:fill="CAEDFB" w:themeFill="accent4" w:themeFillTint="33"/>
              </w:rPr>
              <w:t>5</w:t>
            </w:r>
            <w:r w:rsidRPr="00102FC6">
              <w:rPr>
                <w:rFonts w:ascii="Arial" w:hAnsi="Arial" w:cs="Arial"/>
                <w:b/>
                <w:bCs/>
                <w:sz w:val="20"/>
                <w:szCs w:val="20"/>
                <w:shd w:val="clear" w:color="auto" w:fill="CAEDFB" w:themeFill="accent4" w:themeFillTint="33"/>
              </w:rPr>
              <w:t>, to December 31, 202</w:t>
            </w:r>
            <w:r w:rsidR="00151872">
              <w:rPr>
                <w:rFonts w:ascii="Arial" w:hAnsi="Arial" w:cs="Arial"/>
                <w:b/>
                <w:bCs/>
                <w:sz w:val="20"/>
                <w:szCs w:val="20"/>
                <w:shd w:val="clear" w:color="auto" w:fill="CAEDFB" w:themeFill="accent4" w:themeFillTint="33"/>
              </w:rPr>
              <w:t>5</w:t>
            </w:r>
            <w:r w:rsidRPr="00102FC6">
              <w:rPr>
                <w:rFonts w:ascii="Arial" w:hAnsi="Arial" w:cs="Arial"/>
                <w:b/>
                <w:bCs/>
                <w:sz w:val="20"/>
                <w:szCs w:val="20"/>
                <w:shd w:val="clear" w:color="auto" w:fill="CAEDFB" w:themeFill="accent4" w:themeFillTint="33"/>
              </w:rPr>
              <w:t>. </w:t>
            </w:r>
            <w:r w:rsidRPr="00102FC6">
              <w:rPr>
                <w:rFonts w:ascii="Arial" w:eastAsia="Times New Roman" w:hAnsi="Arial" w:cs="Arial"/>
                <w:color w:val="000000"/>
                <w:kern w:val="0"/>
                <w:sz w:val="20"/>
                <w:szCs w:val="20"/>
                <w:shd w:val="clear" w:color="auto" w:fill="CAEDFB" w:themeFill="accent4" w:themeFillTint="33"/>
                <w14:ligatures w14:val="none"/>
              </w:rPr>
              <w:t> </w:t>
            </w:r>
          </w:p>
        </w:tc>
      </w:tr>
    </w:tbl>
    <w:p w14:paraId="05F0FFF9" w14:textId="77777777" w:rsidR="00DA0FDE" w:rsidRDefault="00DA0FDE" w:rsidP="00594CA0">
      <w:pPr>
        <w:spacing w:after="0" w:line="240" w:lineRule="auto"/>
        <w:textAlignment w:val="baseline"/>
        <w:rPr>
          <w:rFonts w:ascii="Arial" w:eastAsia="Times New Roman" w:hAnsi="Arial" w:cs="Arial"/>
          <w:b/>
          <w:bCs/>
          <w:color w:val="000000"/>
          <w:kern w:val="0"/>
          <w:sz w:val="20"/>
          <w:szCs w:val="20"/>
          <w14:ligatures w14:val="none"/>
        </w:rPr>
      </w:pPr>
    </w:p>
    <w:p w14:paraId="4E733131" w14:textId="6A0DEB51" w:rsidR="00594CA0" w:rsidRPr="00E96E71" w:rsidRDefault="00594CA0" w:rsidP="00594CA0">
      <w:pPr>
        <w:spacing w:after="0" w:line="240" w:lineRule="auto"/>
        <w:textAlignment w:val="baseline"/>
        <w:rPr>
          <w:rFonts w:ascii="Arial" w:eastAsia="Times New Roman" w:hAnsi="Arial" w:cs="Arial"/>
          <w:b/>
          <w:bCs/>
          <w:color w:val="000000"/>
          <w:kern w:val="0"/>
          <w:sz w:val="20"/>
          <w:szCs w:val="20"/>
          <w14:ligatures w14:val="none"/>
        </w:rPr>
      </w:pPr>
      <w:r w:rsidRPr="00E96E71">
        <w:rPr>
          <w:rFonts w:ascii="Arial" w:eastAsia="Times New Roman" w:hAnsi="Arial" w:cs="Arial"/>
          <w:b/>
          <w:bCs/>
          <w:color w:val="000000"/>
          <w:kern w:val="0"/>
          <w:sz w:val="20"/>
          <w:szCs w:val="20"/>
          <w14:ligatures w14:val="none"/>
        </w:rPr>
        <w:t xml:space="preserve">In responding to </w:t>
      </w:r>
      <w:r w:rsidR="00DA0FDE" w:rsidRPr="00E96E71">
        <w:rPr>
          <w:rFonts w:ascii="Arial" w:eastAsia="Times New Roman" w:hAnsi="Arial" w:cs="Arial"/>
          <w:b/>
          <w:bCs/>
          <w:color w:val="000000"/>
          <w:kern w:val="0"/>
          <w:sz w:val="20"/>
          <w:szCs w:val="20"/>
          <w14:ligatures w14:val="none"/>
        </w:rPr>
        <w:t xml:space="preserve">all </w:t>
      </w:r>
      <w:r w:rsidR="002F57AE" w:rsidRPr="00E96E71">
        <w:rPr>
          <w:rFonts w:ascii="Arial" w:eastAsia="Times New Roman" w:hAnsi="Arial" w:cs="Arial"/>
          <w:b/>
          <w:bCs/>
          <w:color w:val="000000"/>
          <w:kern w:val="0"/>
          <w:sz w:val="20"/>
          <w:szCs w:val="20"/>
          <w14:ligatures w14:val="none"/>
        </w:rPr>
        <w:t>c</w:t>
      </w:r>
      <w:r w:rsidR="00DA0FDE" w:rsidRPr="00E96E71">
        <w:rPr>
          <w:rFonts w:ascii="Arial" w:eastAsia="Times New Roman" w:hAnsi="Arial" w:cs="Arial"/>
          <w:b/>
          <w:bCs/>
          <w:color w:val="000000"/>
          <w:kern w:val="0"/>
          <w:sz w:val="20"/>
          <w:szCs w:val="20"/>
          <w14:ligatures w14:val="none"/>
        </w:rPr>
        <w:t xml:space="preserve">ompliance </w:t>
      </w:r>
      <w:r w:rsidR="00132380" w:rsidRPr="00E96E71">
        <w:rPr>
          <w:rFonts w:ascii="Arial" w:eastAsia="Times New Roman" w:hAnsi="Arial" w:cs="Arial"/>
          <w:b/>
          <w:bCs/>
          <w:color w:val="000000"/>
          <w:kern w:val="0"/>
          <w:sz w:val="20"/>
          <w:szCs w:val="20"/>
          <w14:ligatures w14:val="none"/>
        </w:rPr>
        <w:t>f</w:t>
      </w:r>
      <w:r w:rsidR="00DA0FDE" w:rsidRPr="00E96E71">
        <w:rPr>
          <w:rFonts w:ascii="Arial" w:eastAsia="Times New Roman" w:hAnsi="Arial" w:cs="Arial"/>
          <w:b/>
          <w:bCs/>
          <w:color w:val="000000"/>
          <w:kern w:val="0"/>
          <w:sz w:val="20"/>
          <w:szCs w:val="20"/>
          <w14:ligatures w14:val="none"/>
        </w:rPr>
        <w:t xml:space="preserve">ilings </w:t>
      </w:r>
      <w:r w:rsidR="00102FC6" w:rsidRPr="00E96E71">
        <w:rPr>
          <w:rFonts w:ascii="Arial" w:eastAsia="Times New Roman" w:hAnsi="Arial" w:cs="Arial"/>
          <w:b/>
          <w:bCs/>
          <w:color w:val="000000"/>
          <w:kern w:val="0"/>
          <w:sz w:val="20"/>
          <w:szCs w:val="20"/>
          <w14:ligatures w14:val="none"/>
        </w:rPr>
        <w:t xml:space="preserve">within the reporting </w:t>
      </w:r>
      <w:r w:rsidR="009B43DF" w:rsidRPr="00E96E71">
        <w:rPr>
          <w:rFonts w:ascii="Arial" w:eastAsia="Times New Roman" w:hAnsi="Arial" w:cs="Arial"/>
          <w:b/>
          <w:bCs/>
          <w:color w:val="000000"/>
          <w:kern w:val="0"/>
          <w:sz w:val="20"/>
          <w:szCs w:val="20"/>
          <w14:ligatures w14:val="none"/>
        </w:rPr>
        <w:t>period</w:t>
      </w:r>
      <w:r w:rsidRPr="00E96E71">
        <w:rPr>
          <w:rFonts w:ascii="Arial" w:eastAsia="Times New Roman" w:hAnsi="Arial" w:cs="Arial"/>
          <w:b/>
          <w:bCs/>
          <w:color w:val="000000"/>
          <w:kern w:val="0"/>
          <w:sz w:val="20"/>
          <w:szCs w:val="20"/>
          <w14:ligatures w14:val="none"/>
        </w:rPr>
        <w:t xml:space="preserve">, provide data files and conduct the analysis with respect to the following Commercial Insurance Products:   </w:t>
      </w:r>
    </w:p>
    <w:p w14:paraId="343315CB" w14:textId="77777777" w:rsidR="00594CA0" w:rsidRPr="00E96E71" w:rsidRDefault="00594CA0" w:rsidP="001D57B5">
      <w:pPr>
        <w:spacing w:after="0" w:line="240" w:lineRule="auto"/>
        <w:textAlignment w:val="baseline"/>
        <w:rPr>
          <w:rFonts w:ascii="Arial" w:eastAsia="Times New Roman" w:hAnsi="Arial" w:cs="Arial"/>
          <w:b/>
          <w:bCs/>
          <w:color w:val="000000"/>
          <w:kern w:val="0"/>
          <w:sz w:val="20"/>
          <w:szCs w:val="20"/>
          <w14:ligatures w14:val="none"/>
        </w:rPr>
      </w:pPr>
    </w:p>
    <w:p w14:paraId="340F06CB" w14:textId="2EC59A7E" w:rsidR="003938E7" w:rsidRPr="003938E7" w:rsidRDefault="00594CA0" w:rsidP="003938E7">
      <w:pPr>
        <w:numPr>
          <w:ilvl w:val="0"/>
          <w:numId w:val="14"/>
        </w:numPr>
        <w:rPr>
          <w:rFonts w:ascii="Arial" w:hAnsi="Arial" w:cs="Arial"/>
          <w:sz w:val="20"/>
          <w:szCs w:val="20"/>
        </w:rPr>
      </w:pPr>
      <w:r w:rsidRPr="00E96E71">
        <w:rPr>
          <w:rFonts w:ascii="Arial" w:hAnsi="Arial" w:cs="Arial"/>
          <w:sz w:val="20"/>
          <w:szCs w:val="20"/>
        </w:rPr>
        <w:t xml:space="preserve">The Individual and fully insured Small Group market health products offered by the Carrier, each of which are </w:t>
      </w:r>
      <w:proofErr w:type="spellStart"/>
      <w:r w:rsidRPr="00E96E71">
        <w:rPr>
          <w:rFonts w:ascii="Arial" w:hAnsi="Arial" w:cs="Arial"/>
          <w:sz w:val="20"/>
          <w:szCs w:val="20"/>
        </w:rPr>
        <w:t>sitused</w:t>
      </w:r>
      <w:proofErr w:type="spellEnd"/>
      <w:r w:rsidRPr="00E96E71">
        <w:rPr>
          <w:rFonts w:ascii="Arial" w:hAnsi="Arial" w:cs="Arial"/>
          <w:sz w:val="20"/>
          <w:szCs w:val="20"/>
        </w:rPr>
        <w:t xml:space="preserve"> in New Mexico state for coverage of New Mexico state residents. Please </w:t>
      </w:r>
      <w:proofErr w:type="gramStart"/>
      <w:r w:rsidRPr="00E96E71">
        <w:rPr>
          <w:rFonts w:ascii="Arial" w:hAnsi="Arial" w:cs="Arial"/>
          <w:sz w:val="20"/>
          <w:szCs w:val="20"/>
        </w:rPr>
        <w:t>enter in</w:t>
      </w:r>
      <w:proofErr w:type="gramEnd"/>
      <w:r w:rsidRPr="00E96E71">
        <w:rPr>
          <w:rFonts w:ascii="Arial" w:hAnsi="Arial" w:cs="Arial"/>
          <w:sz w:val="20"/>
          <w:szCs w:val="20"/>
        </w:rPr>
        <w:t xml:space="preserve"> </w:t>
      </w:r>
      <w:r w:rsidR="00303B10" w:rsidRPr="00E96E71">
        <w:rPr>
          <w:rFonts w:ascii="Arial" w:hAnsi="Arial" w:cs="Arial"/>
          <w:sz w:val="20"/>
          <w:szCs w:val="20"/>
        </w:rPr>
        <w:t xml:space="preserve">the </w:t>
      </w:r>
      <w:r w:rsidRPr="00E96E71">
        <w:rPr>
          <w:rFonts w:ascii="Arial" w:hAnsi="Arial" w:cs="Arial"/>
          <w:sz w:val="20"/>
          <w:szCs w:val="20"/>
        </w:rPr>
        <w:t xml:space="preserve">chart below the average monthly enrollment as indicated: </w:t>
      </w:r>
    </w:p>
    <w:tbl>
      <w:tblPr>
        <w:tblStyle w:val="TableGrid"/>
        <w:tblW w:w="0" w:type="auto"/>
        <w:tblInd w:w="2449" w:type="dxa"/>
        <w:tblLook w:val="04A0" w:firstRow="1" w:lastRow="0" w:firstColumn="1" w:lastColumn="0" w:noHBand="0" w:noVBand="1"/>
      </w:tblPr>
      <w:tblGrid>
        <w:gridCol w:w="1904"/>
        <w:gridCol w:w="1886"/>
        <w:gridCol w:w="2712"/>
      </w:tblGrid>
      <w:tr w:rsidR="00593291" w:rsidRPr="00E96E71" w14:paraId="3A55098D" w14:textId="1F3B91C0" w:rsidTr="003938E7">
        <w:trPr>
          <w:trHeight w:val="485"/>
        </w:trPr>
        <w:tc>
          <w:tcPr>
            <w:tcW w:w="1904" w:type="dxa"/>
            <w:shd w:val="clear" w:color="auto" w:fill="D9D9D9" w:themeFill="background1" w:themeFillShade="D9"/>
            <w:vAlign w:val="center"/>
          </w:tcPr>
          <w:p w14:paraId="62B184B1" w14:textId="77777777" w:rsidR="00593291" w:rsidRPr="003938E7" w:rsidRDefault="00593291" w:rsidP="00DB28EA">
            <w:pPr>
              <w:jc w:val="center"/>
              <w:rPr>
                <w:rFonts w:ascii="Arial" w:hAnsi="Arial" w:cs="Arial"/>
                <w:b/>
                <w:bCs/>
                <w:iCs/>
                <w:sz w:val="20"/>
                <w:szCs w:val="20"/>
              </w:rPr>
            </w:pPr>
            <w:r w:rsidRPr="003938E7">
              <w:rPr>
                <w:rFonts w:ascii="Arial" w:hAnsi="Arial" w:cs="Arial"/>
                <w:b/>
                <w:bCs/>
                <w:iCs/>
                <w:sz w:val="20"/>
                <w:szCs w:val="20"/>
              </w:rPr>
              <w:t>Market</w:t>
            </w:r>
          </w:p>
        </w:tc>
        <w:tc>
          <w:tcPr>
            <w:tcW w:w="1886" w:type="dxa"/>
            <w:shd w:val="clear" w:color="auto" w:fill="D9D9D9" w:themeFill="background1" w:themeFillShade="D9"/>
            <w:vAlign w:val="center"/>
          </w:tcPr>
          <w:p w14:paraId="4F3C5C15" w14:textId="77777777" w:rsidR="00593291" w:rsidRPr="003938E7" w:rsidRDefault="00593291" w:rsidP="00DB28EA">
            <w:pPr>
              <w:jc w:val="center"/>
              <w:rPr>
                <w:rFonts w:ascii="Arial" w:hAnsi="Arial" w:cs="Arial"/>
                <w:b/>
                <w:bCs/>
                <w:iCs/>
                <w:sz w:val="20"/>
                <w:szCs w:val="20"/>
              </w:rPr>
            </w:pPr>
            <w:r w:rsidRPr="003938E7">
              <w:rPr>
                <w:rFonts w:ascii="Arial" w:hAnsi="Arial" w:cs="Arial"/>
                <w:b/>
                <w:bCs/>
                <w:iCs/>
                <w:sz w:val="20"/>
                <w:szCs w:val="20"/>
              </w:rPr>
              <w:t>Product Type, e.g.  HMO, PPO</w:t>
            </w:r>
          </w:p>
        </w:tc>
        <w:tc>
          <w:tcPr>
            <w:tcW w:w="2712" w:type="dxa"/>
            <w:shd w:val="clear" w:color="auto" w:fill="D1D1D1" w:themeFill="background2" w:themeFillShade="E6"/>
            <w:vAlign w:val="center"/>
          </w:tcPr>
          <w:p w14:paraId="59A56D0A" w14:textId="5D78335D" w:rsidR="00593291" w:rsidRPr="003938E7" w:rsidRDefault="00BF70FE" w:rsidP="00DB28EA">
            <w:pPr>
              <w:jc w:val="center"/>
              <w:rPr>
                <w:rFonts w:ascii="Arial" w:hAnsi="Arial" w:cs="Arial"/>
                <w:b/>
                <w:bCs/>
                <w:iCs/>
                <w:sz w:val="20"/>
                <w:szCs w:val="20"/>
              </w:rPr>
            </w:pPr>
            <w:r w:rsidRPr="003938E7">
              <w:rPr>
                <w:rFonts w:ascii="Arial" w:hAnsi="Arial" w:cs="Arial"/>
                <w:b/>
                <w:bCs/>
                <w:iCs/>
                <w:sz w:val="20"/>
                <w:szCs w:val="20"/>
              </w:rPr>
              <w:t xml:space="preserve">Member Months </w:t>
            </w:r>
          </w:p>
        </w:tc>
      </w:tr>
      <w:tr w:rsidR="00593291" w:rsidRPr="00E96E71" w14:paraId="4A62F001" w14:textId="3E907F67" w:rsidTr="003938E7">
        <w:trPr>
          <w:trHeight w:val="611"/>
        </w:trPr>
        <w:tc>
          <w:tcPr>
            <w:tcW w:w="1904" w:type="dxa"/>
            <w:vAlign w:val="center"/>
          </w:tcPr>
          <w:p w14:paraId="6B5C35CB" w14:textId="77777777" w:rsidR="00593291" w:rsidRPr="00E96E71" w:rsidRDefault="00593291" w:rsidP="00BE029F">
            <w:pPr>
              <w:jc w:val="center"/>
              <w:rPr>
                <w:rFonts w:ascii="Arial" w:hAnsi="Arial" w:cs="Arial"/>
                <w:sz w:val="20"/>
                <w:szCs w:val="20"/>
              </w:rPr>
            </w:pPr>
            <w:r w:rsidRPr="00E96E71">
              <w:rPr>
                <w:rFonts w:ascii="Arial" w:hAnsi="Arial" w:cs="Arial"/>
                <w:sz w:val="20"/>
                <w:szCs w:val="20"/>
              </w:rPr>
              <w:t>Individual Market</w:t>
            </w:r>
          </w:p>
        </w:tc>
        <w:tc>
          <w:tcPr>
            <w:tcW w:w="1886" w:type="dxa"/>
            <w:vAlign w:val="center"/>
          </w:tcPr>
          <w:p w14:paraId="4B88A934" w14:textId="77777777" w:rsidR="00593291" w:rsidRPr="00E96E71" w:rsidRDefault="00593291" w:rsidP="00BE029F">
            <w:pPr>
              <w:jc w:val="center"/>
              <w:rPr>
                <w:rFonts w:ascii="Arial" w:hAnsi="Arial" w:cs="Arial"/>
                <w:sz w:val="20"/>
                <w:szCs w:val="20"/>
              </w:rPr>
            </w:pPr>
            <w:r w:rsidRPr="00E96E71">
              <w:rPr>
                <w:rFonts w:ascii="Arial" w:hAnsi="Arial" w:cs="Arial"/>
                <w:sz w:val="20"/>
                <w:szCs w:val="20"/>
              </w:rPr>
              <w:t>HMO</w:t>
            </w:r>
          </w:p>
        </w:tc>
        <w:tc>
          <w:tcPr>
            <w:tcW w:w="2712" w:type="dxa"/>
            <w:vAlign w:val="center"/>
          </w:tcPr>
          <w:p w14:paraId="54CFFE7D" w14:textId="77777777" w:rsidR="00593291" w:rsidRPr="00E96E71" w:rsidRDefault="00593291" w:rsidP="00BE029F">
            <w:pPr>
              <w:rPr>
                <w:rFonts w:ascii="Arial" w:hAnsi="Arial" w:cs="Arial"/>
                <w:sz w:val="20"/>
                <w:szCs w:val="20"/>
              </w:rPr>
            </w:pPr>
          </w:p>
        </w:tc>
      </w:tr>
      <w:tr w:rsidR="00593291" w:rsidRPr="00E96E71" w14:paraId="55491729" w14:textId="0371F168" w:rsidTr="003938E7">
        <w:trPr>
          <w:trHeight w:val="701"/>
        </w:trPr>
        <w:tc>
          <w:tcPr>
            <w:tcW w:w="1904" w:type="dxa"/>
            <w:vAlign w:val="center"/>
          </w:tcPr>
          <w:p w14:paraId="509E3419" w14:textId="77777777" w:rsidR="00593291" w:rsidRPr="00E96E71" w:rsidRDefault="00593291" w:rsidP="00BE029F">
            <w:pPr>
              <w:jc w:val="center"/>
              <w:rPr>
                <w:rFonts w:ascii="Arial" w:hAnsi="Arial" w:cs="Arial"/>
                <w:sz w:val="20"/>
                <w:szCs w:val="20"/>
              </w:rPr>
            </w:pPr>
            <w:r w:rsidRPr="00E96E71">
              <w:rPr>
                <w:rFonts w:ascii="Arial" w:hAnsi="Arial" w:cs="Arial"/>
                <w:sz w:val="20"/>
                <w:szCs w:val="20"/>
              </w:rPr>
              <w:t>Small Group Market</w:t>
            </w:r>
          </w:p>
        </w:tc>
        <w:tc>
          <w:tcPr>
            <w:tcW w:w="1886" w:type="dxa"/>
            <w:vAlign w:val="center"/>
          </w:tcPr>
          <w:p w14:paraId="604185D6" w14:textId="77777777" w:rsidR="00593291" w:rsidRPr="00E96E71" w:rsidRDefault="00593291" w:rsidP="00BE029F">
            <w:pPr>
              <w:jc w:val="center"/>
              <w:rPr>
                <w:rFonts w:ascii="Arial" w:hAnsi="Arial" w:cs="Arial"/>
                <w:sz w:val="20"/>
                <w:szCs w:val="20"/>
              </w:rPr>
            </w:pPr>
            <w:r w:rsidRPr="00E96E71">
              <w:rPr>
                <w:rFonts w:ascii="Arial" w:hAnsi="Arial" w:cs="Arial"/>
                <w:sz w:val="20"/>
                <w:szCs w:val="20"/>
              </w:rPr>
              <w:t>HMO</w:t>
            </w:r>
          </w:p>
        </w:tc>
        <w:tc>
          <w:tcPr>
            <w:tcW w:w="2712" w:type="dxa"/>
            <w:vAlign w:val="center"/>
          </w:tcPr>
          <w:p w14:paraId="4CB84C04" w14:textId="77777777" w:rsidR="00593291" w:rsidRPr="00E96E71" w:rsidRDefault="00593291" w:rsidP="00BE029F">
            <w:pPr>
              <w:rPr>
                <w:rFonts w:ascii="Arial" w:hAnsi="Arial" w:cs="Arial"/>
                <w:sz w:val="20"/>
                <w:szCs w:val="20"/>
              </w:rPr>
            </w:pPr>
          </w:p>
        </w:tc>
      </w:tr>
      <w:tr w:rsidR="00593291" w:rsidRPr="00E96E71" w14:paraId="74FF0D69" w14:textId="1BCB42EE" w:rsidTr="003938E7">
        <w:trPr>
          <w:trHeight w:val="599"/>
        </w:trPr>
        <w:tc>
          <w:tcPr>
            <w:tcW w:w="1904" w:type="dxa"/>
            <w:vAlign w:val="center"/>
          </w:tcPr>
          <w:p w14:paraId="700A5456" w14:textId="77777777" w:rsidR="00593291" w:rsidRPr="00E96E71" w:rsidRDefault="00593291" w:rsidP="00BE029F">
            <w:pPr>
              <w:jc w:val="center"/>
              <w:rPr>
                <w:rFonts w:ascii="Arial" w:hAnsi="Arial" w:cs="Arial"/>
                <w:sz w:val="20"/>
                <w:szCs w:val="20"/>
              </w:rPr>
            </w:pPr>
            <w:r w:rsidRPr="00E96E71">
              <w:rPr>
                <w:rFonts w:ascii="Arial" w:hAnsi="Arial" w:cs="Arial"/>
                <w:sz w:val="20"/>
                <w:szCs w:val="20"/>
              </w:rPr>
              <w:t>Small Group Market</w:t>
            </w:r>
          </w:p>
        </w:tc>
        <w:tc>
          <w:tcPr>
            <w:tcW w:w="1886" w:type="dxa"/>
            <w:vAlign w:val="center"/>
          </w:tcPr>
          <w:p w14:paraId="57525C47" w14:textId="77777777" w:rsidR="00593291" w:rsidRPr="00E96E71" w:rsidRDefault="00593291" w:rsidP="00BE029F">
            <w:pPr>
              <w:jc w:val="center"/>
              <w:rPr>
                <w:rFonts w:ascii="Arial" w:hAnsi="Arial" w:cs="Arial"/>
                <w:sz w:val="20"/>
                <w:szCs w:val="20"/>
              </w:rPr>
            </w:pPr>
            <w:r w:rsidRPr="00E96E71">
              <w:rPr>
                <w:rFonts w:ascii="Arial" w:hAnsi="Arial" w:cs="Arial"/>
                <w:sz w:val="20"/>
                <w:szCs w:val="20"/>
              </w:rPr>
              <w:t>PPO</w:t>
            </w:r>
          </w:p>
        </w:tc>
        <w:tc>
          <w:tcPr>
            <w:tcW w:w="2712" w:type="dxa"/>
            <w:vAlign w:val="center"/>
          </w:tcPr>
          <w:p w14:paraId="0DAB0582" w14:textId="77777777" w:rsidR="00593291" w:rsidRPr="00E96E71" w:rsidRDefault="00593291" w:rsidP="00BE029F">
            <w:pPr>
              <w:rPr>
                <w:rFonts w:ascii="Arial" w:hAnsi="Arial" w:cs="Arial"/>
                <w:sz w:val="20"/>
                <w:szCs w:val="20"/>
              </w:rPr>
            </w:pPr>
          </w:p>
        </w:tc>
      </w:tr>
    </w:tbl>
    <w:p w14:paraId="0ADB9AF8" w14:textId="77777777" w:rsidR="00594CA0" w:rsidRPr="00E96E71" w:rsidRDefault="00594CA0" w:rsidP="001D57B5">
      <w:pPr>
        <w:ind w:left="1080"/>
        <w:rPr>
          <w:rFonts w:ascii="Arial" w:hAnsi="Arial" w:cs="Arial"/>
          <w:sz w:val="20"/>
          <w:szCs w:val="20"/>
        </w:rPr>
      </w:pPr>
    </w:p>
    <w:p w14:paraId="2E42A548" w14:textId="63F6FF12" w:rsidR="00922675" w:rsidRDefault="00594CA0" w:rsidP="00922675">
      <w:pPr>
        <w:numPr>
          <w:ilvl w:val="0"/>
          <w:numId w:val="14"/>
        </w:numPr>
        <w:rPr>
          <w:rFonts w:ascii="Arial" w:hAnsi="Arial" w:cs="Arial"/>
          <w:sz w:val="20"/>
          <w:szCs w:val="20"/>
        </w:rPr>
      </w:pPr>
      <w:r w:rsidRPr="00E96E71">
        <w:rPr>
          <w:rFonts w:ascii="Arial" w:hAnsi="Arial" w:cs="Arial"/>
          <w:sz w:val="20"/>
          <w:szCs w:val="20"/>
        </w:rPr>
        <w:t xml:space="preserve">The fully insured Large Group market health products offered by the Carrier that are 1) an HMO plan </w:t>
      </w:r>
      <w:r w:rsidRPr="00E96E71">
        <w:rPr>
          <w:rFonts w:ascii="Arial" w:hAnsi="Arial" w:cs="Arial"/>
          <w:sz w:val="20"/>
          <w:szCs w:val="20"/>
          <w:u w:val="single"/>
        </w:rPr>
        <w:t>and</w:t>
      </w:r>
      <w:r w:rsidRPr="00E96E71">
        <w:rPr>
          <w:rFonts w:ascii="Arial" w:hAnsi="Arial" w:cs="Arial"/>
          <w:sz w:val="20"/>
          <w:szCs w:val="20"/>
        </w:rPr>
        <w:t xml:space="preserve"> 2) a PPO plan </w:t>
      </w:r>
      <w:proofErr w:type="spellStart"/>
      <w:r w:rsidRPr="00E96E71">
        <w:rPr>
          <w:rFonts w:ascii="Arial" w:hAnsi="Arial" w:cs="Arial"/>
          <w:sz w:val="20"/>
          <w:szCs w:val="20"/>
        </w:rPr>
        <w:t>sitused</w:t>
      </w:r>
      <w:proofErr w:type="spellEnd"/>
      <w:r w:rsidRPr="00E96E71">
        <w:rPr>
          <w:rFonts w:ascii="Arial" w:hAnsi="Arial" w:cs="Arial"/>
          <w:sz w:val="20"/>
          <w:szCs w:val="20"/>
        </w:rPr>
        <w:t xml:space="preserve"> in New Mexico for coverage of state residents with the highest enrollment.  If the enrollment for the highest enrollment plan is less than 1,000 members, please include large group plans until at least 1,000 members are represented in the data sample.</w:t>
      </w:r>
    </w:p>
    <w:p w14:paraId="65738E14" w14:textId="38B89FF6" w:rsidR="00594CA0" w:rsidRPr="00922675" w:rsidRDefault="00594CA0" w:rsidP="003938E7">
      <w:pPr>
        <w:spacing w:after="0"/>
        <w:ind w:left="360"/>
        <w:rPr>
          <w:rFonts w:ascii="Arial" w:hAnsi="Arial" w:cs="Arial"/>
          <w:sz w:val="20"/>
          <w:szCs w:val="20"/>
        </w:rPr>
      </w:pPr>
      <w:r w:rsidRPr="00922675">
        <w:rPr>
          <w:rFonts w:ascii="Arial" w:hAnsi="Arial" w:cs="Arial"/>
          <w:sz w:val="20"/>
          <w:szCs w:val="20"/>
        </w:rPr>
        <w:t xml:space="preserve">Using the table below, for each of the health products described above, insert the product name (as filed in SERFF) for the product filing, and the monthly </w:t>
      </w:r>
      <w:r w:rsidR="00F30945">
        <w:rPr>
          <w:rFonts w:ascii="Arial" w:hAnsi="Arial" w:cs="Arial"/>
          <w:sz w:val="20"/>
          <w:szCs w:val="20"/>
        </w:rPr>
        <w:t xml:space="preserve">2025 </w:t>
      </w:r>
      <w:r w:rsidRPr="00922675">
        <w:rPr>
          <w:rFonts w:ascii="Arial" w:hAnsi="Arial" w:cs="Arial"/>
          <w:sz w:val="20"/>
          <w:szCs w:val="20"/>
        </w:rPr>
        <w:t xml:space="preserve">enrollment for all plans sold under the product name. </w:t>
      </w:r>
      <w:r w:rsidR="00BE029F">
        <w:rPr>
          <w:rFonts w:ascii="Arial" w:hAnsi="Arial" w:cs="Arial"/>
          <w:sz w:val="20"/>
          <w:szCs w:val="20"/>
        </w:rPr>
        <w:t>A</w:t>
      </w:r>
      <w:r w:rsidRPr="00922675">
        <w:rPr>
          <w:rFonts w:ascii="Arial" w:hAnsi="Arial" w:cs="Arial"/>
          <w:sz w:val="20"/>
          <w:szCs w:val="20"/>
        </w:rPr>
        <w:t>dd more rows</w:t>
      </w:r>
      <w:r w:rsidR="00900C4E">
        <w:rPr>
          <w:rFonts w:ascii="Arial" w:hAnsi="Arial" w:cs="Arial"/>
          <w:sz w:val="20"/>
          <w:szCs w:val="20"/>
        </w:rPr>
        <w:t xml:space="preserve">, </w:t>
      </w:r>
      <w:r w:rsidRPr="00922675">
        <w:rPr>
          <w:rFonts w:ascii="Arial" w:hAnsi="Arial" w:cs="Arial"/>
          <w:sz w:val="20"/>
          <w:szCs w:val="20"/>
        </w:rPr>
        <w:t>if needed</w:t>
      </w:r>
      <w:r w:rsidR="00900C4E">
        <w:rPr>
          <w:rFonts w:ascii="Arial" w:hAnsi="Arial" w:cs="Arial"/>
          <w:sz w:val="20"/>
          <w:szCs w:val="20"/>
        </w:rPr>
        <w:t xml:space="preserve">, </w:t>
      </w:r>
      <w:r w:rsidRPr="00922675">
        <w:rPr>
          <w:rFonts w:ascii="Arial" w:hAnsi="Arial" w:cs="Arial"/>
          <w:sz w:val="20"/>
          <w:szCs w:val="20"/>
        </w:rPr>
        <w:t>to capture data for 1,000 members.</w:t>
      </w:r>
    </w:p>
    <w:tbl>
      <w:tblPr>
        <w:tblStyle w:val="TableGrid"/>
        <w:tblpPr w:leftFromText="180" w:rightFromText="180" w:vertAnchor="text" w:horzAnchor="page" w:tblpX="3881" w:tblpY="247"/>
        <w:tblOverlap w:val="never"/>
        <w:tblW w:w="7735" w:type="dxa"/>
        <w:tblLook w:val="04A0" w:firstRow="1" w:lastRow="0" w:firstColumn="1" w:lastColumn="0" w:noHBand="0" w:noVBand="1"/>
      </w:tblPr>
      <w:tblGrid>
        <w:gridCol w:w="1479"/>
        <w:gridCol w:w="1756"/>
        <w:gridCol w:w="2160"/>
        <w:gridCol w:w="2340"/>
      </w:tblGrid>
      <w:tr w:rsidR="00593291" w:rsidRPr="00E96E71" w14:paraId="54C7470C" w14:textId="6013B3DE" w:rsidTr="003938E7">
        <w:trPr>
          <w:trHeight w:val="710"/>
        </w:trPr>
        <w:tc>
          <w:tcPr>
            <w:tcW w:w="1479" w:type="dxa"/>
            <w:shd w:val="clear" w:color="auto" w:fill="D9D9D9" w:themeFill="background1" w:themeFillShade="D9"/>
            <w:vAlign w:val="center"/>
          </w:tcPr>
          <w:p w14:paraId="2C39A6ED" w14:textId="77777777" w:rsidR="00593291" w:rsidRPr="003938E7" w:rsidRDefault="00593291" w:rsidP="00BF70FE">
            <w:pPr>
              <w:jc w:val="center"/>
              <w:rPr>
                <w:rFonts w:ascii="Arial" w:hAnsi="Arial" w:cs="Arial"/>
                <w:b/>
                <w:bCs/>
                <w:iCs/>
                <w:sz w:val="20"/>
                <w:szCs w:val="20"/>
              </w:rPr>
            </w:pPr>
            <w:r w:rsidRPr="003938E7">
              <w:rPr>
                <w:rFonts w:ascii="Arial" w:hAnsi="Arial" w:cs="Arial"/>
                <w:b/>
                <w:bCs/>
                <w:iCs/>
                <w:sz w:val="20"/>
                <w:szCs w:val="20"/>
              </w:rPr>
              <w:t>Market</w:t>
            </w:r>
          </w:p>
        </w:tc>
        <w:tc>
          <w:tcPr>
            <w:tcW w:w="1756" w:type="dxa"/>
            <w:shd w:val="clear" w:color="auto" w:fill="D9D9D9" w:themeFill="background1" w:themeFillShade="D9"/>
            <w:vAlign w:val="center"/>
          </w:tcPr>
          <w:p w14:paraId="4A98DC6C" w14:textId="77777777" w:rsidR="00593291" w:rsidRPr="003938E7" w:rsidRDefault="00593291" w:rsidP="00BF70FE">
            <w:pPr>
              <w:jc w:val="center"/>
              <w:rPr>
                <w:rFonts w:ascii="Arial" w:hAnsi="Arial" w:cs="Arial"/>
                <w:b/>
                <w:bCs/>
                <w:iCs/>
                <w:sz w:val="20"/>
                <w:szCs w:val="20"/>
              </w:rPr>
            </w:pPr>
            <w:r w:rsidRPr="003938E7">
              <w:rPr>
                <w:rFonts w:ascii="Arial" w:hAnsi="Arial" w:cs="Arial"/>
                <w:b/>
                <w:bCs/>
                <w:iCs/>
                <w:sz w:val="20"/>
                <w:szCs w:val="20"/>
              </w:rPr>
              <w:t>Product Type, e.g.  HMO, PPO</w:t>
            </w:r>
          </w:p>
        </w:tc>
        <w:tc>
          <w:tcPr>
            <w:tcW w:w="2160" w:type="dxa"/>
            <w:shd w:val="clear" w:color="auto" w:fill="D9D9D9" w:themeFill="background1" w:themeFillShade="D9"/>
            <w:vAlign w:val="center"/>
          </w:tcPr>
          <w:p w14:paraId="654CF7B2" w14:textId="62B90594" w:rsidR="00593291" w:rsidRPr="003938E7" w:rsidRDefault="00593291" w:rsidP="00BF70FE">
            <w:pPr>
              <w:jc w:val="center"/>
              <w:rPr>
                <w:rFonts w:ascii="Arial" w:hAnsi="Arial" w:cs="Arial"/>
                <w:b/>
                <w:bCs/>
                <w:iCs/>
                <w:sz w:val="20"/>
                <w:szCs w:val="20"/>
              </w:rPr>
            </w:pPr>
            <w:r w:rsidRPr="003938E7">
              <w:rPr>
                <w:rFonts w:ascii="Arial" w:hAnsi="Arial" w:cs="Arial"/>
                <w:b/>
                <w:bCs/>
                <w:iCs/>
                <w:sz w:val="20"/>
                <w:szCs w:val="20"/>
              </w:rPr>
              <w:t>Product Name</w:t>
            </w:r>
          </w:p>
        </w:tc>
        <w:tc>
          <w:tcPr>
            <w:tcW w:w="2340" w:type="dxa"/>
            <w:shd w:val="clear" w:color="auto" w:fill="D1D1D1" w:themeFill="background2" w:themeFillShade="E6"/>
            <w:vAlign w:val="center"/>
          </w:tcPr>
          <w:p w14:paraId="6EE8275C" w14:textId="36B7620E" w:rsidR="00593291" w:rsidRPr="003938E7" w:rsidRDefault="00BF70FE" w:rsidP="00BF70FE">
            <w:pPr>
              <w:jc w:val="center"/>
              <w:rPr>
                <w:rFonts w:ascii="Arial" w:hAnsi="Arial" w:cs="Arial"/>
                <w:b/>
                <w:bCs/>
                <w:iCs/>
                <w:sz w:val="20"/>
                <w:szCs w:val="20"/>
              </w:rPr>
            </w:pPr>
            <w:r w:rsidRPr="003938E7">
              <w:rPr>
                <w:rFonts w:ascii="Arial" w:hAnsi="Arial" w:cs="Arial"/>
                <w:b/>
                <w:bCs/>
                <w:iCs/>
                <w:sz w:val="20"/>
                <w:szCs w:val="20"/>
              </w:rPr>
              <w:t>Member Months</w:t>
            </w:r>
          </w:p>
        </w:tc>
      </w:tr>
      <w:tr w:rsidR="00593291" w:rsidRPr="00E96E71" w14:paraId="50721666" w14:textId="0D2ABC67" w:rsidTr="003938E7">
        <w:trPr>
          <w:trHeight w:val="710"/>
        </w:trPr>
        <w:tc>
          <w:tcPr>
            <w:tcW w:w="1479" w:type="dxa"/>
            <w:vAlign w:val="center"/>
          </w:tcPr>
          <w:p w14:paraId="7BFD79F6" w14:textId="77777777" w:rsidR="00593291" w:rsidRPr="00E96E71" w:rsidRDefault="00593291" w:rsidP="00BF70FE">
            <w:pPr>
              <w:jc w:val="center"/>
              <w:rPr>
                <w:rFonts w:ascii="Arial" w:hAnsi="Arial" w:cs="Arial"/>
                <w:sz w:val="20"/>
                <w:szCs w:val="20"/>
              </w:rPr>
            </w:pPr>
            <w:r w:rsidRPr="00E96E71">
              <w:rPr>
                <w:rFonts w:ascii="Arial" w:hAnsi="Arial" w:cs="Arial"/>
                <w:sz w:val="20"/>
                <w:szCs w:val="20"/>
              </w:rPr>
              <w:t>Large Group Market</w:t>
            </w:r>
          </w:p>
        </w:tc>
        <w:tc>
          <w:tcPr>
            <w:tcW w:w="1756" w:type="dxa"/>
            <w:vAlign w:val="center"/>
          </w:tcPr>
          <w:p w14:paraId="26A07A34" w14:textId="77777777" w:rsidR="00593291" w:rsidRPr="00E96E71" w:rsidRDefault="00593291" w:rsidP="00BF70FE">
            <w:pPr>
              <w:jc w:val="center"/>
              <w:rPr>
                <w:rFonts w:ascii="Arial" w:hAnsi="Arial" w:cs="Arial"/>
                <w:sz w:val="20"/>
                <w:szCs w:val="20"/>
              </w:rPr>
            </w:pPr>
            <w:r w:rsidRPr="00E96E71">
              <w:rPr>
                <w:rFonts w:ascii="Arial" w:hAnsi="Arial" w:cs="Arial"/>
                <w:sz w:val="20"/>
                <w:szCs w:val="20"/>
              </w:rPr>
              <w:t>HMO</w:t>
            </w:r>
          </w:p>
        </w:tc>
        <w:tc>
          <w:tcPr>
            <w:tcW w:w="2160" w:type="dxa"/>
            <w:vAlign w:val="center"/>
          </w:tcPr>
          <w:p w14:paraId="757CD130" w14:textId="77777777" w:rsidR="00593291" w:rsidRPr="00E96E71" w:rsidRDefault="00593291" w:rsidP="00BF70FE">
            <w:pPr>
              <w:jc w:val="center"/>
              <w:rPr>
                <w:rFonts w:ascii="Arial" w:hAnsi="Arial" w:cs="Arial"/>
                <w:sz w:val="20"/>
                <w:szCs w:val="20"/>
              </w:rPr>
            </w:pPr>
          </w:p>
        </w:tc>
        <w:tc>
          <w:tcPr>
            <w:tcW w:w="2340" w:type="dxa"/>
            <w:vAlign w:val="center"/>
          </w:tcPr>
          <w:p w14:paraId="3B8A8380" w14:textId="77777777" w:rsidR="00593291" w:rsidRPr="00E96E71" w:rsidRDefault="00593291" w:rsidP="00BF70FE">
            <w:pPr>
              <w:jc w:val="center"/>
              <w:rPr>
                <w:rFonts w:ascii="Arial" w:hAnsi="Arial" w:cs="Arial"/>
                <w:sz w:val="20"/>
                <w:szCs w:val="20"/>
              </w:rPr>
            </w:pPr>
          </w:p>
        </w:tc>
      </w:tr>
      <w:tr w:rsidR="00593291" w:rsidRPr="00E96E71" w14:paraId="07ADBA5E" w14:textId="4CE275F5" w:rsidTr="003938E7">
        <w:trPr>
          <w:trHeight w:val="728"/>
        </w:trPr>
        <w:tc>
          <w:tcPr>
            <w:tcW w:w="1479" w:type="dxa"/>
            <w:vAlign w:val="center"/>
          </w:tcPr>
          <w:p w14:paraId="43D2198D" w14:textId="77777777" w:rsidR="00593291" w:rsidRPr="00E96E71" w:rsidRDefault="00593291" w:rsidP="00BF70FE">
            <w:pPr>
              <w:jc w:val="center"/>
              <w:rPr>
                <w:rFonts w:ascii="Arial" w:hAnsi="Arial" w:cs="Arial"/>
                <w:sz w:val="20"/>
                <w:szCs w:val="20"/>
              </w:rPr>
            </w:pPr>
            <w:r w:rsidRPr="00E96E71">
              <w:rPr>
                <w:rFonts w:ascii="Arial" w:hAnsi="Arial" w:cs="Arial"/>
                <w:sz w:val="20"/>
                <w:szCs w:val="20"/>
              </w:rPr>
              <w:t>Large Group Market</w:t>
            </w:r>
          </w:p>
        </w:tc>
        <w:tc>
          <w:tcPr>
            <w:tcW w:w="1756" w:type="dxa"/>
            <w:vAlign w:val="center"/>
          </w:tcPr>
          <w:p w14:paraId="04FFE865" w14:textId="77777777" w:rsidR="00593291" w:rsidRPr="00E96E71" w:rsidRDefault="00593291" w:rsidP="00BF70FE">
            <w:pPr>
              <w:jc w:val="center"/>
              <w:rPr>
                <w:rFonts w:ascii="Arial" w:hAnsi="Arial" w:cs="Arial"/>
                <w:sz w:val="20"/>
                <w:szCs w:val="20"/>
              </w:rPr>
            </w:pPr>
            <w:r w:rsidRPr="00E96E71">
              <w:rPr>
                <w:rFonts w:ascii="Arial" w:hAnsi="Arial" w:cs="Arial"/>
                <w:sz w:val="20"/>
                <w:szCs w:val="20"/>
              </w:rPr>
              <w:t>PPO</w:t>
            </w:r>
          </w:p>
        </w:tc>
        <w:tc>
          <w:tcPr>
            <w:tcW w:w="2160" w:type="dxa"/>
            <w:vAlign w:val="center"/>
          </w:tcPr>
          <w:p w14:paraId="68831446" w14:textId="77777777" w:rsidR="00593291" w:rsidRPr="00E96E71" w:rsidRDefault="00593291" w:rsidP="00BF70FE">
            <w:pPr>
              <w:jc w:val="center"/>
              <w:rPr>
                <w:rFonts w:ascii="Arial" w:hAnsi="Arial" w:cs="Arial"/>
                <w:sz w:val="20"/>
                <w:szCs w:val="20"/>
              </w:rPr>
            </w:pPr>
          </w:p>
        </w:tc>
        <w:tc>
          <w:tcPr>
            <w:tcW w:w="2340" w:type="dxa"/>
            <w:vAlign w:val="center"/>
          </w:tcPr>
          <w:p w14:paraId="26D40EB3" w14:textId="77777777" w:rsidR="00593291" w:rsidRPr="00E96E71" w:rsidRDefault="00593291" w:rsidP="00BF70FE">
            <w:pPr>
              <w:jc w:val="center"/>
              <w:rPr>
                <w:rFonts w:ascii="Arial" w:hAnsi="Arial" w:cs="Arial"/>
                <w:sz w:val="20"/>
                <w:szCs w:val="20"/>
              </w:rPr>
            </w:pPr>
          </w:p>
        </w:tc>
      </w:tr>
    </w:tbl>
    <w:p w14:paraId="7FB9BF53" w14:textId="77777777" w:rsidR="00E7132E" w:rsidRDefault="00E7132E" w:rsidP="00E7132E">
      <w:pPr>
        <w:pStyle w:val="paragraph"/>
        <w:spacing w:before="0" w:beforeAutospacing="0" w:after="0" w:afterAutospacing="0"/>
        <w:textAlignment w:val="baseline"/>
        <w:rPr>
          <w:rStyle w:val="normaltextrun"/>
          <w:rFonts w:ascii="Arial" w:eastAsiaTheme="majorEastAsia" w:hAnsi="Arial" w:cs="Arial"/>
          <w:b/>
          <w:bCs/>
          <w:color w:val="FFFFFF" w:themeColor="background1"/>
        </w:rPr>
      </w:pPr>
    </w:p>
    <w:p w14:paraId="0F1DD7A5" w14:textId="77777777" w:rsidR="00284C98" w:rsidRDefault="00284C98" w:rsidP="00E7132E">
      <w:pPr>
        <w:pStyle w:val="paragraph"/>
        <w:spacing w:before="0" w:beforeAutospacing="0" w:after="0" w:afterAutospacing="0"/>
        <w:textAlignment w:val="baseline"/>
        <w:rPr>
          <w:rStyle w:val="normaltextrun"/>
          <w:rFonts w:eastAsiaTheme="majorEastAsia"/>
          <w:bCs/>
          <w:color w:val="FFFFFF" w:themeColor="background1"/>
        </w:rPr>
      </w:pPr>
    </w:p>
    <w:p w14:paraId="58004087" w14:textId="77777777" w:rsidR="00284C98" w:rsidRDefault="00284C98" w:rsidP="00E7132E">
      <w:pPr>
        <w:pStyle w:val="paragraph"/>
        <w:spacing w:before="0" w:beforeAutospacing="0" w:after="0" w:afterAutospacing="0"/>
        <w:textAlignment w:val="baseline"/>
        <w:rPr>
          <w:rStyle w:val="normaltextrun"/>
          <w:rFonts w:eastAsiaTheme="majorEastAsia"/>
          <w:bCs/>
          <w:color w:val="FFFFFF" w:themeColor="background1"/>
        </w:rPr>
      </w:pPr>
    </w:p>
    <w:p w14:paraId="6AD8E304" w14:textId="77777777" w:rsidR="00284C98" w:rsidRDefault="00284C98" w:rsidP="00E7132E">
      <w:pPr>
        <w:pStyle w:val="paragraph"/>
        <w:spacing w:before="0" w:beforeAutospacing="0" w:after="0" w:afterAutospacing="0"/>
        <w:textAlignment w:val="baseline"/>
        <w:rPr>
          <w:rStyle w:val="normaltextrun"/>
          <w:rFonts w:eastAsiaTheme="majorEastAsia"/>
          <w:bCs/>
          <w:color w:val="FFFFFF" w:themeColor="background1"/>
        </w:rPr>
      </w:pPr>
    </w:p>
    <w:p w14:paraId="51BF909B" w14:textId="77777777" w:rsidR="00284C98" w:rsidRDefault="00284C98" w:rsidP="00E7132E">
      <w:pPr>
        <w:pStyle w:val="paragraph"/>
        <w:spacing w:before="0" w:beforeAutospacing="0" w:after="0" w:afterAutospacing="0"/>
        <w:textAlignment w:val="baseline"/>
        <w:rPr>
          <w:rStyle w:val="normaltextrun"/>
          <w:rFonts w:eastAsiaTheme="majorEastAsia"/>
          <w:bCs/>
          <w:color w:val="FFFFFF" w:themeColor="background1"/>
        </w:rPr>
      </w:pPr>
    </w:p>
    <w:p w14:paraId="6119DDBD" w14:textId="77777777" w:rsidR="00284C98" w:rsidRDefault="00284C98" w:rsidP="00E7132E">
      <w:pPr>
        <w:pStyle w:val="paragraph"/>
        <w:spacing w:before="0" w:beforeAutospacing="0" w:after="0" w:afterAutospacing="0"/>
        <w:textAlignment w:val="baseline"/>
        <w:rPr>
          <w:rStyle w:val="normaltextrun"/>
          <w:rFonts w:eastAsiaTheme="majorEastAsia"/>
          <w:bCs/>
          <w:color w:val="FFFFFF" w:themeColor="background1"/>
        </w:rPr>
      </w:pPr>
    </w:p>
    <w:p w14:paraId="519838B1" w14:textId="77777777" w:rsidR="00284C98" w:rsidRDefault="00284C98" w:rsidP="00E7132E">
      <w:pPr>
        <w:pStyle w:val="paragraph"/>
        <w:spacing w:before="0" w:beforeAutospacing="0" w:after="0" w:afterAutospacing="0"/>
        <w:textAlignment w:val="baseline"/>
        <w:rPr>
          <w:rStyle w:val="normaltextrun"/>
          <w:rFonts w:eastAsiaTheme="majorEastAsia"/>
          <w:bCs/>
          <w:color w:val="FFFFFF" w:themeColor="background1"/>
        </w:rPr>
      </w:pPr>
    </w:p>
    <w:p w14:paraId="0C959692" w14:textId="77777777" w:rsidR="00284C98" w:rsidRDefault="00284C98" w:rsidP="00E7132E">
      <w:pPr>
        <w:pStyle w:val="paragraph"/>
        <w:spacing w:before="0" w:beforeAutospacing="0" w:after="0" w:afterAutospacing="0"/>
        <w:textAlignment w:val="baseline"/>
        <w:rPr>
          <w:rStyle w:val="normaltextrun"/>
          <w:rFonts w:eastAsiaTheme="majorEastAsia"/>
          <w:bCs/>
          <w:color w:val="FFFFFF" w:themeColor="background1"/>
        </w:rPr>
      </w:pPr>
    </w:p>
    <w:p w14:paraId="53468A38" w14:textId="77777777" w:rsidR="00284C98" w:rsidRPr="00E96E71" w:rsidRDefault="00284C98" w:rsidP="00E7132E">
      <w:pPr>
        <w:pStyle w:val="paragraph"/>
        <w:spacing w:before="0" w:beforeAutospacing="0" w:after="0" w:afterAutospacing="0"/>
        <w:textAlignment w:val="baseline"/>
        <w:rPr>
          <w:rStyle w:val="normaltextrun"/>
          <w:rFonts w:ascii="Arial" w:eastAsiaTheme="majorEastAsia" w:hAnsi="Arial" w:cs="Arial"/>
          <w:b/>
          <w:bCs/>
          <w:color w:val="FFFFFF" w:themeColor="background1"/>
        </w:rPr>
      </w:pPr>
    </w:p>
    <w:tbl>
      <w:tblPr>
        <w:tblStyle w:val="TableGrid"/>
        <w:tblW w:w="12960" w:type="dxa"/>
        <w:tblLook w:val="04A0" w:firstRow="1" w:lastRow="0" w:firstColumn="1" w:lastColumn="0" w:noHBand="0" w:noVBand="1"/>
      </w:tblPr>
      <w:tblGrid>
        <w:gridCol w:w="12960"/>
      </w:tblGrid>
      <w:tr w:rsidR="00E7132E" w:rsidRPr="00E96E71" w14:paraId="261FB864" w14:textId="77777777" w:rsidTr="00102FC6">
        <w:tc>
          <w:tcPr>
            <w:tcW w:w="12960" w:type="dxa"/>
            <w:shd w:val="clear" w:color="auto" w:fill="0F9ED5" w:themeFill="accent4"/>
          </w:tcPr>
          <w:p w14:paraId="13EDD561" w14:textId="37C12F3C" w:rsidR="00E7132E" w:rsidRPr="00E96E71" w:rsidRDefault="00F479DF" w:rsidP="003D6D08">
            <w:pPr>
              <w:pStyle w:val="paragraph"/>
              <w:spacing w:before="0" w:beforeAutospacing="0" w:after="0" w:afterAutospacing="0"/>
              <w:textAlignment w:val="baseline"/>
              <w:rPr>
                <w:rStyle w:val="normaltextrun"/>
                <w:rFonts w:ascii="Arial" w:eastAsiaTheme="majorEastAsia" w:hAnsi="Arial" w:cs="Arial"/>
                <w:b/>
                <w:bCs/>
                <w:color w:val="FFFFFF" w:themeColor="background1"/>
                <w:sz w:val="28"/>
                <w:szCs w:val="28"/>
              </w:rPr>
            </w:pPr>
            <w:r>
              <w:rPr>
                <w:rStyle w:val="normaltextrun"/>
                <w:rFonts w:ascii="Arial" w:eastAsiaTheme="majorEastAsia" w:hAnsi="Arial" w:cs="Arial"/>
                <w:b/>
                <w:bCs/>
                <w:color w:val="FFFFFF" w:themeColor="background1"/>
                <w:sz w:val="28"/>
                <w:szCs w:val="28"/>
              </w:rPr>
              <w:t xml:space="preserve">5. </w:t>
            </w:r>
            <w:r w:rsidR="00E7132E" w:rsidRPr="00E96E71">
              <w:rPr>
                <w:rStyle w:val="normaltextrun"/>
                <w:rFonts w:ascii="Arial" w:eastAsiaTheme="majorEastAsia" w:hAnsi="Arial" w:cs="Arial"/>
                <w:b/>
                <w:bCs/>
                <w:color w:val="FFFFFF" w:themeColor="background1"/>
                <w:sz w:val="28"/>
                <w:szCs w:val="28"/>
              </w:rPr>
              <w:t>Data File Layouts</w:t>
            </w:r>
          </w:p>
        </w:tc>
      </w:tr>
      <w:tr w:rsidR="00102FC6" w:rsidRPr="00E96E71" w14:paraId="4F97DD52" w14:textId="77777777" w:rsidTr="00102FC6">
        <w:tc>
          <w:tcPr>
            <w:tcW w:w="12960" w:type="dxa"/>
            <w:shd w:val="clear" w:color="auto" w:fill="CAEDFB" w:themeFill="accent4" w:themeFillTint="33"/>
          </w:tcPr>
          <w:p w14:paraId="54475515" w14:textId="2A96F396" w:rsidR="00102FC6" w:rsidRPr="00E96E71" w:rsidRDefault="00102FC6" w:rsidP="003D6D08">
            <w:pPr>
              <w:pStyle w:val="paragraph"/>
              <w:spacing w:before="0" w:beforeAutospacing="0" w:after="0" w:afterAutospacing="0"/>
              <w:textAlignment w:val="baseline"/>
              <w:rPr>
                <w:rStyle w:val="normaltextrun"/>
                <w:rFonts w:ascii="Arial" w:eastAsiaTheme="majorEastAsia" w:hAnsi="Arial" w:cs="Arial"/>
                <w:b/>
                <w:bCs/>
                <w:color w:val="FFFFFF" w:themeColor="background1"/>
              </w:rPr>
            </w:pPr>
            <w:r w:rsidRPr="00E96E71">
              <w:rPr>
                <w:rFonts w:ascii="Arial" w:hAnsi="Arial" w:cs="Arial"/>
                <w:b/>
                <w:bCs/>
                <w:sz w:val="20"/>
                <w:szCs w:val="20"/>
                <w:shd w:val="clear" w:color="auto" w:fill="CAEDFB" w:themeFill="accent4" w:themeFillTint="33"/>
              </w:rPr>
              <w:t xml:space="preserve">The purpose of this section is to </w:t>
            </w:r>
            <w:r w:rsidR="00DF6D42" w:rsidRPr="00E96E71">
              <w:rPr>
                <w:rFonts w:ascii="Arial" w:hAnsi="Arial" w:cs="Arial"/>
                <w:b/>
                <w:bCs/>
                <w:sz w:val="20"/>
                <w:szCs w:val="20"/>
                <w:shd w:val="clear" w:color="auto" w:fill="CAEDFB" w:themeFill="accent4" w:themeFillTint="33"/>
              </w:rPr>
              <w:t xml:space="preserve">serve as a </w:t>
            </w:r>
            <w:r w:rsidR="00773D79" w:rsidRPr="00E96E71">
              <w:rPr>
                <w:rFonts w:ascii="Arial" w:hAnsi="Arial" w:cs="Arial"/>
                <w:b/>
                <w:bCs/>
                <w:sz w:val="20"/>
                <w:szCs w:val="20"/>
                <w:shd w:val="clear" w:color="auto" w:fill="CAEDFB" w:themeFill="accent4" w:themeFillTint="33"/>
              </w:rPr>
              <w:t xml:space="preserve">SERFF </w:t>
            </w:r>
            <w:r w:rsidR="00DF6D42" w:rsidRPr="00E96E71">
              <w:rPr>
                <w:rFonts w:ascii="Arial" w:hAnsi="Arial" w:cs="Arial"/>
                <w:b/>
                <w:bCs/>
                <w:sz w:val="20"/>
                <w:szCs w:val="20"/>
                <w:shd w:val="clear" w:color="auto" w:fill="CAEDFB" w:themeFill="accent4" w:themeFillTint="33"/>
              </w:rPr>
              <w:t xml:space="preserve">cross-reference </w:t>
            </w:r>
            <w:r w:rsidR="00DB26B7" w:rsidRPr="00E96E71">
              <w:rPr>
                <w:rFonts w:ascii="Arial" w:hAnsi="Arial" w:cs="Arial"/>
                <w:b/>
                <w:bCs/>
                <w:sz w:val="20"/>
                <w:szCs w:val="20"/>
                <w:shd w:val="clear" w:color="auto" w:fill="CAEDFB" w:themeFill="accent4" w:themeFillTint="33"/>
              </w:rPr>
              <w:t xml:space="preserve">for </w:t>
            </w:r>
            <w:r w:rsidRPr="00E96E71">
              <w:rPr>
                <w:rFonts w:ascii="Arial" w:hAnsi="Arial" w:cs="Arial"/>
                <w:b/>
                <w:bCs/>
                <w:sz w:val="20"/>
                <w:szCs w:val="20"/>
                <w:shd w:val="clear" w:color="auto" w:fill="CAEDFB" w:themeFill="accent4" w:themeFillTint="33"/>
              </w:rPr>
              <w:t xml:space="preserve">the </w:t>
            </w:r>
            <w:r w:rsidR="00DC50CE" w:rsidRPr="00E96E71">
              <w:rPr>
                <w:rFonts w:ascii="Arial" w:hAnsi="Arial" w:cs="Arial"/>
                <w:b/>
                <w:bCs/>
                <w:sz w:val="20"/>
                <w:szCs w:val="20"/>
                <w:shd w:val="clear" w:color="auto" w:fill="CAEDFB" w:themeFill="accent4" w:themeFillTint="33"/>
              </w:rPr>
              <w:t xml:space="preserve">raw data file templates submitted in Dropbox </w:t>
            </w:r>
            <w:r w:rsidR="00DF6D42" w:rsidRPr="00E96E71">
              <w:rPr>
                <w:rFonts w:ascii="Arial" w:hAnsi="Arial" w:cs="Arial"/>
                <w:b/>
                <w:bCs/>
                <w:sz w:val="20"/>
                <w:szCs w:val="20"/>
                <w:shd w:val="clear" w:color="auto" w:fill="CAEDFB" w:themeFill="accent4" w:themeFillTint="33"/>
              </w:rPr>
              <w:t>in accordance with the “Data File</w:t>
            </w:r>
            <w:r w:rsidR="009A2FAC" w:rsidRPr="00E96E71">
              <w:rPr>
                <w:rFonts w:ascii="Arial" w:hAnsi="Arial" w:cs="Arial"/>
                <w:b/>
                <w:bCs/>
                <w:sz w:val="20"/>
                <w:szCs w:val="20"/>
                <w:shd w:val="clear" w:color="auto" w:fill="CAEDFB" w:themeFill="accent4" w:themeFillTint="33"/>
              </w:rPr>
              <w:t xml:space="preserve"> Layouts”</w:t>
            </w:r>
            <w:r w:rsidR="00DF6D42" w:rsidRPr="00E96E71">
              <w:rPr>
                <w:rFonts w:ascii="Arial" w:hAnsi="Arial" w:cs="Arial"/>
                <w:b/>
                <w:bCs/>
                <w:sz w:val="20"/>
                <w:szCs w:val="20"/>
                <w:shd w:val="clear" w:color="auto" w:fill="CAEDFB" w:themeFill="accent4" w:themeFillTint="33"/>
              </w:rPr>
              <w:t xml:space="preserve"> Template”</w:t>
            </w:r>
            <w:r w:rsidR="000B059F" w:rsidRPr="00E96E71">
              <w:rPr>
                <w:rFonts w:ascii="Arial" w:hAnsi="Arial" w:cs="Arial"/>
                <w:b/>
                <w:bCs/>
                <w:sz w:val="20"/>
                <w:szCs w:val="20"/>
                <w:shd w:val="clear" w:color="auto" w:fill="CAEDFB" w:themeFill="accent4" w:themeFillTint="33"/>
              </w:rPr>
              <w:t>, within the reporting period—</w:t>
            </w:r>
            <w:r w:rsidRPr="00E96E71">
              <w:rPr>
                <w:rFonts w:ascii="Arial" w:hAnsi="Arial" w:cs="Arial"/>
                <w:b/>
                <w:bCs/>
                <w:sz w:val="20"/>
                <w:szCs w:val="20"/>
                <w:shd w:val="clear" w:color="auto" w:fill="CAEDFB" w:themeFill="accent4" w:themeFillTint="33"/>
              </w:rPr>
              <w:t>i.e., January 1, 202</w:t>
            </w:r>
            <w:r w:rsidR="00684B2A">
              <w:rPr>
                <w:rFonts w:ascii="Arial" w:hAnsi="Arial" w:cs="Arial"/>
                <w:b/>
                <w:bCs/>
                <w:sz w:val="20"/>
                <w:szCs w:val="20"/>
                <w:shd w:val="clear" w:color="auto" w:fill="CAEDFB" w:themeFill="accent4" w:themeFillTint="33"/>
              </w:rPr>
              <w:t>5</w:t>
            </w:r>
            <w:r w:rsidRPr="00E96E71">
              <w:rPr>
                <w:rFonts w:ascii="Arial" w:hAnsi="Arial" w:cs="Arial"/>
                <w:b/>
                <w:bCs/>
                <w:sz w:val="20"/>
                <w:szCs w:val="20"/>
                <w:shd w:val="clear" w:color="auto" w:fill="CAEDFB" w:themeFill="accent4" w:themeFillTint="33"/>
              </w:rPr>
              <w:t>, to December 31, 202</w:t>
            </w:r>
            <w:r w:rsidR="00684B2A">
              <w:rPr>
                <w:rFonts w:ascii="Arial" w:hAnsi="Arial" w:cs="Arial"/>
                <w:b/>
                <w:bCs/>
                <w:sz w:val="20"/>
                <w:szCs w:val="20"/>
                <w:shd w:val="clear" w:color="auto" w:fill="CAEDFB" w:themeFill="accent4" w:themeFillTint="33"/>
              </w:rPr>
              <w:t>5</w:t>
            </w:r>
            <w:r w:rsidRPr="00E96E71">
              <w:rPr>
                <w:rFonts w:ascii="Arial" w:hAnsi="Arial" w:cs="Arial"/>
                <w:b/>
                <w:bCs/>
                <w:sz w:val="20"/>
                <w:szCs w:val="20"/>
                <w:shd w:val="clear" w:color="auto" w:fill="CAEDFB" w:themeFill="accent4" w:themeFillTint="33"/>
              </w:rPr>
              <w:t>. </w:t>
            </w:r>
            <w:r w:rsidRPr="00E96E71">
              <w:rPr>
                <w:rFonts w:ascii="Arial" w:hAnsi="Arial" w:cs="Arial"/>
                <w:color w:val="000000"/>
                <w:sz w:val="20"/>
                <w:szCs w:val="20"/>
                <w:shd w:val="clear" w:color="auto" w:fill="CAEDFB" w:themeFill="accent4" w:themeFillTint="33"/>
              </w:rPr>
              <w:t> </w:t>
            </w:r>
          </w:p>
        </w:tc>
      </w:tr>
    </w:tbl>
    <w:p w14:paraId="29F1991D" w14:textId="77777777" w:rsidR="00E7132E" w:rsidRPr="00E96E71" w:rsidRDefault="00E7132E" w:rsidP="00E7132E">
      <w:pPr>
        <w:spacing w:after="0"/>
        <w:rPr>
          <w:rFonts w:ascii="Arial" w:hAnsi="Arial" w:cs="Arial"/>
          <w:sz w:val="4"/>
          <w:szCs w:val="4"/>
        </w:rPr>
      </w:pPr>
    </w:p>
    <w:p w14:paraId="060A79AB" w14:textId="3C0860DA" w:rsidR="000202B2" w:rsidRPr="00E96E71" w:rsidRDefault="0075639C" w:rsidP="0034149A">
      <w:pPr>
        <w:rPr>
          <w:rFonts w:ascii="Arial" w:hAnsi="Arial" w:cs="Arial"/>
          <w:sz w:val="20"/>
          <w:szCs w:val="20"/>
        </w:rPr>
      </w:pPr>
      <w:r>
        <w:rPr>
          <w:rFonts w:ascii="Arial" w:hAnsi="Arial" w:cs="Arial"/>
          <w:sz w:val="20"/>
          <w:szCs w:val="20"/>
        </w:rPr>
        <w:t>P</w:t>
      </w:r>
      <w:r w:rsidR="000202B2" w:rsidRPr="00E96E71">
        <w:rPr>
          <w:rFonts w:ascii="Arial" w:hAnsi="Arial" w:cs="Arial"/>
          <w:sz w:val="20"/>
          <w:szCs w:val="20"/>
        </w:rPr>
        <w:t xml:space="preserve">lease list below the names </w:t>
      </w:r>
      <w:r w:rsidR="000972B6" w:rsidRPr="00E96E71">
        <w:rPr>
          <w:rFonts w:ascii="Arial" w:hAnsi="Arial" w:cs="Arial"/>
          <w:sz w:val="20"/>
          <w:szCs w:val="20"/>
        </w:rPr>
        <w:t>of</w:t>
      </w:r>
      <w:r w:rsidR="000202B2" w:rsidRPr="00E96E71">
        <w:rPr>
          <w:rFonts w:ascii="Arial" w:hAnsi="Arial" w:cs="Arial"/>
          <w:sz w:val="20"/>
          <w:szCs w:val="20"/>
        </w:rPr>
        <w:t xml:space="preserve"> each of the required raw data </w:t>
      </w:r>
      <w:r w:rsidR="005C59E5" w:rsidRPr="00E96E71">
        <w:rPr>
          <w:rFonts w:ascii="Arial" w:hAnsi="Arial" w:cs="Arial"/>
          <w:sz w:val="20"/>
          <w:szCs w:val="20"/>
        </w:rPr>
        <w:t xml:space="preserve">files </w:t>
      </w:r>
      <w:r w:rsidR="000202B2" w:rsidRPr="00E96E71">
        <w:rPr>
          <w:rFonts w:ascii="Arial" w:hAnsi="Arial" w:cs="Arial"/>
          <w:sz w:val="20"/>
          <w:szCs w:val="20"/>
        </w:rPr>
        <w:t xml:space="preserve">you are required to submit in Dropbox. Note: The required naming conventions </w:t>
      </w:r>
      <w:r w:rsidR="0078081B" w:rsidRPr="00E96E71">
        <w:rPr>
          <w:rFonts w:ascii="Arial" w:hAnsi="Arial" w:cs="Arial"/>
          <w:sz w:val="20"/>
          <w:szCs w:val="20"/>
        </w:rPr>
        <w:t xml:space="preserve">and instructions </w:t>
      </w:r>
      <w:r w:rsidR="000202B2" w:rsidRPr="00E96E71">
        <w:rPr>
          <w:rFonts w:ascii="Arial" w:hAnsi="Arial" w:cs="Arial"/>
          <w:sz w:val="20"/>
          <w:szCs w:val="20"/>
        </w:rPr>
        <w:t xml:space="preserve">for each </w:t>
      </w:r>
      <w:r>
        <w:rPr>
          <w:rFonts w:ascii="Arial" w:hAnsi="Arial" w:cs="Arial"/>
          <w:sz w:val="20"/>
          <w:szCs w:val="20"/>
        </w:rPr>
        <w:t xml:space="preserve">raw data </w:t>
      </w:r>
      <w:r w:rsidR="000202B2" w:rsidRPr="00E96E71">
        <w:rPr>
          <w:rFonts w:ascii="Arial" w:hAnsi="Arial" w:cs="Arial"/>
          <w:sz w:val="20"/>
          <w:szCs w:val="20"/>
        </w:rPr>
        <w:t>file are in the MS Excel Document, “Data File Layouts”</w:t>
      </w:r>
      <w:r w:rsidR="000972B6" w:rsidRPr="00E96E71">
        <w:rPr>
          <w:rFonts w:ascii="Arial" w:hAnsi="Arial" w:cs="Arial"/>
          <w:sz w:val="20"/>
          <w:szCs w:val="20"/>
        </w:rPr>
        <w:t>. Also list the total number of records</w:t>
      </w:r>
      <w:r w:rsidR="003476C2" w:rsidRPr="00E96E71">
        <w:rPr>
          <w:rFonts w:ascii="Arial" w:hAnsi="Arial" w:cs="Arial"/>
          <w:sz w:val="20"/>
          <w:szCs w:val="20"/>
        </w:rPr>
        <w:t xml:space="preserve"> in each file.</w:t>
      </w:r>
    </w:p>
    <w:tbl>
      <w:tblPr>
        <w:tblStyle w:val="TableGrid"/>
        <w:tblW w:w="12950" w:type="dxa"/>
        <w:jc w:val="center"/>
        <w:tblLook w:val="04A0" w:firstRow="1" w:lastRow="0" w:firstColumn="1" w:lastColumn="0" w:noHBand="0" w:noVBand="1"/>
      </w:tblPr>
      <w:tblGrid>
        <w:gridCol w:w="355"/>
        <w:gridCol w:w="2970"/>
        <w:gridCol w:w="7560"/>
        <w:gridCol w:w="2065"/>
      </w:tblGrid>
      <w:tr w:rsidR="001B2E84" w:rsidRPr="00E96E71" w14:paraId="36A3E3B3" w14:textId="77777777" w:rsidTr="002E1873">
        <w:trPr>
          <w:trHeight w:val="512"/>
          <w:jc w:val="center"/>
        </w:trPr>
        <w:tc>
          <w:tcPr>
            <w:tcW w:w="355" w:type="dxa"/>
            <w:shd w:val="clear" w:color="auto" w:fill="E8E8E8" w:themeFill="background2"/>
            <w:vAlign w:val="center"/>
          </w:tcPr>
          <w:p w14:paraId="21BA5BF3" w14:textId="48AFF83B" w:rsidR="001B2E84" w:rsidRPr="00E96E71" w:rsidRDefault="001B2E84" w:rsidP="003D6D08">
            <w:pPr>
              <w:rPr>
                <w:rFonts w:ascii="Arial" w:hAnsi="Arial" w:cs="Arial"/>
                <w:b/>
                <w:bCs/>
                <w:sz w:val="20"/>
                <w:szCs w:val="20"/>
              </w:rPr>
            </w:pPr>
            <w:r w:rsidRPr="00E96E71">
              <w:rPr>
                <w:rFonts w:ascii="Arial" w:hAnsi="Arial" w:cs="Arial"/>
                <w:b/>
                <w:bCs/>
                <w:sz w:val="20"/>
                <w:szCs w:val="20"/>
              </w:rPr>
              <w:t xml:space="preserve"># </w:t>
            </w:r>
          </w:p>
        </w:tc>
        <w:tc>
          <w:tcPr>
            <w:tcW w:w="2970" w:type="dxa"/>
            <w:shd w:val="clear" w:color="auto" w:fill="E8E8E8" w:themeFill="background2"/>
            <w:vAlign w:val="center"/>
          </w:tcPr>
          <w:p w14:paraId="5AEA57E2" w14:textId="786FAB5B" w:rsidR="001B2E84" w:rsidRPr="00E96E71" w:rsidRDefault="001B2E84" w:rsidP="003D6D08">
            <w:pPr>
              <w:rPr>
                <w:rFonts w:ascii="Arial" w:hAnsi="Arial" w:cs="Arial"/>
                <w:b/>
                <w:bCs/>
                <w:sz w:val="20"/>
                <w:szCs w:val="20"/>
              </w:rPr>
            </w:pPr>
            <w:r w:rsidRPr="00E96E71">
              <w:rPr>
                <w:rFonts w:ascii="Arial" w:hAnsi="Arial" w:cs="Arial"/>
                <w:b/>
                <w:bCs/>
                <w:sz w:val="20"/>
                <w:szCs w:val="20"/>
              </w:rPr>
              <w:t xml:space="preserve">Data File </w:t>
            </w:r>
            <w:r w:rsidR="00A00024" w:rsidRPr="00E96E71">
              <w:rPr>
                <w:rFonts w:ascii="Arial" w:hAnsi="Arial" w:cs="Arial"/>
                <w:b/>
                <w:bCs/>
                <w:sz w:val="20"/>
                <w:szCs w:val="20"/>
              </w:rPr>
              <w:t>Template</w:t>
            </w:r>
          </w:p>
        </w:tc>
        <w:tc>
          <w:tcPr>
            <w:tcW w:w="7560" w:type="dxa"/>
            <w:shd w:val="clear" w:color="auto" w:fill="E8E8E8" w:themeFill="background2"/>
            <w:vAlign w:val="center"/>
          </w:tcPr>
          <w:p w14:paraId="28EE805E" w14:textId="1358846A" w:rsidR="001B2E84" w:rsidRPr="00E96E71" w:rsidRDefault="00A00024" w:rsidP="00A00024">
            <w:pPr>
              <w:jc w:val="center"/>
              <w:rPr>
                <w:rFonts w:ascii="Arial" w:hAnsi="Arial" w:cs="Arial"/>
                <w:b/>
                <w:bCs/>
                <w:sz w:val="20"/>
                <w:szCs w:val="20"/>
              </w:rPr>
            </w:pPr>
            <w:r w:rsidRPr="00E96E71">
              <w:rPr>
                <w:rFonts w:ascii="Arial" w:hAnsi="Arial" w:cs="Arial"/>
                <w:b/>
                <w:bCs/>
                <w:sz w:val="20"/>
                <w:szCs w:val="20"/>
              </w:rPr>
              <w:t xml:space="preserve">Data File Name </w:t>
            </w:r>
          </w:p>
        </w:tc>
        <w:tc>
          <w:tcPr>
            <w:tcW w:w="2065" w:type="dxa"/>
            <w:shd w:val="clear" w:color="auto" w:fill="E8E8E8" w:themeFill="background2"/>
            <w:vAlign w:val="center"/>
          </w:tcPr>
          <w:p w14:paraId="6B3A4CDE" w14:textId="150EB537" w:rsidR="00A00024" w:rsidRPr="00E96E71" w:rsidRDefault="00A00024" w:rsidP="003D6D08">
            <w:pPr>
              <w:jc w:val="center"/>
              <w:rPr>
                <w:rFonts w:ascii="Arial" w:hAnsi="Arial" w:cs="Arial"/>
                <w:b/>
                <w:bCs/>
                <w:sz w:val="20"/>
                <w:szCs w:val="20"/>
              </w:rPr>
            </w:pPr>
            <w:r w:rsidRPr="00E96E71">
              <w:rPr>
                <w:rFonts w:ascii="Arial" w:hAnsi="Arial" w:cs="Arial"/>
                <w:b/>
                <w:bCs/>
                <w:sz w:val="20"/>
                <w:szCs w:val="20"/>
              </w:rPr>
              <w:t>Total Number of Records in File</w:t>
            </w:r>
          </w:p>
        </w:tc>
      </w:tr>
      <w:tr w:rsidR="001B2E84" w:rsidRPr="00E96E71" w14:paraId="66534174" w14:textId="77777777" w:rsidTr="002E1873">
        <w:trPr>
          <w:trHeight w:val="458"/>
          <w:jc w:val="center"/>
        </w:trPr>
        <w:tc>
          <w:tcPr>
            <w:tcW w:w="355" w:type="dxa"/>
            <w:vAlign w:val="center"/>
          </w:tcPr>
          <w:p w14:paraId="319F023A" w14:textId="075F0FC4" w:rsidR="001B2E84" w:rsidRPr="00E96E71" w:rsidRDefault="00303B10" w:rsidP="009A2FAC">
            <w:pPr>
              <w:spacing w:line="240" w:lineRule="auto"/>
              <w:contextualSpacing/>
              <w:rPr>
                <w:rFonts w:ascii="Arial" w:hAnsi="Arial" w:cs="Arial"/>
                <w:sz w:val="20"/>
                <w:szCs w:val="20"/>
              </w:rPr>
            </w:pPr>
            <w:r w:rsidRPr="00E96E71">
              <w:rPr>
                <w:rFonts w:ascii="Arial" w:hAnsi="Arial" w:cs="Arial"/>
                <w:sz w:val="20"/>
                <w:szCs w:val="20"/>
              </w:rPr>
              <w:t>1</w:t>
            </w:r>
          </w:p>
        </w:tc>
        <w:tc>
          <w:tcPr>
            <w:tcW w:w="2970" w:type="dxa"/>
            <w:vAlign w:val="center"/>
          </w:tcPr>
          <w:p w14:paraId="48631807" w14:textId="4AE30B33" w:rsidR="001B2E84" w:rsidRPr="00E96E71" w:rsidRDefault="00EA2878" w:rsidP="009A2FAC">
            <w:pPr>
              <w:spacing w:line="240" w:lineRule="auto"/>
              <w:contextualSpacing/>
              <w:rPr>
                <w:rFonts w:ascii="Arial" w:hAnsi="Arial" w:cs="Arial"/>
                <w:sz w:val="20"/>
                <w:szCs w:val="20"/>
              </w:rPr>
            </w:pPr>
            <w:r w:rsidRPr="00E96E71">
              <w:rPr>
                <w:rFonts w:ascii="Arial" w:hAnsi="Arial" w:cs="Arial"/>
                <w:sz w:val="20"/>
                <w:szCs w:val="20"/>
              </w:rPr>
              <w:t xml:space="preserve">Medical </w:t>
            </w:r>
            <w:r w:rsidR="001B2E84" w:rsidRPr="00E96E71">
              <w:rPr>
                <w:rFonts w:ascii="Arial" w:hAnsi="Arial" w:cs="Arial"/>
                <w:sz w:val="20"/>
                <w:szCs w:val="20"/>
              </w:rPr>
              <w:t>Claims File</w:t>
            </w:r>
          </w:p>
        </w:tc>
        <w:tc>
          <w:tcPr>
            <w:tcW w:w="7560" w:type="dxa"/>
          </w:tcPr>
          <w:p w14:paraId="14E0DECF" w14:textId="77777777" w:rsidR="001B2E84" w:rsidRPr="00E96E71" w:rsidRDefault="001B2E84" w:rsidP="009A2FAC">
            <w:pPr>
              <w:spacing w:line="240" w:lineRule="auto"/>
              <w:contextualSpacing/>
              <w:rPr>
                <w:rFonts w:ascii="Arial" w:hAnsi="Arial" w:cs="Arial"/>
                <w:sz w:val="20"/>
                <w:szCs w:val="20"/>
              </w:rPr>
            </w:pPr>
          </w:p>
        </w:tc>
        <w:tc>
          <w:tcPr>
            <w:tcW w:w="2065" w:type="dxa"/>
          </w:tcPr>
          <w:p w14:paraId="1C9DA1C2" w14:textId="19560A96" w:rsidR="001B2E84" w:rsidRPr="00E96E71" w:rsidRDefault="001B2E84" w:rsidP="009A2FAC">
            <w:pPr>
              <w:spacing w:line="240" w:lineRule="auto"/>
              <w:contextualSpacing/>
              <w:rPr>
                <w:rFonts w:ascii="Arial" w:hAnsi="Arial" w:cs="Arial"/>
                <w:sz w:val="20"/>
                <w:szCs w:val="20"/>
              </w:rPr>
            </w:pPr>
          </w:p>
        </w:tc>
      </w:tr>
      <w:tr w:rsidR="001B2E84" w:rsidRPr="00E96E71" w14:paraId="3F41E650" w14:textId="77777777" w:rsidTr="002E1873">
        <w:trPr>
          <w:trHeight w:val="530"/>
          <w:jc w:val="center"/>
        </w:trPr>
        <w:tc>
          <w:tcPr>
            <w:tcW w:w="355" w:type="dxa"/>
            <w:vAlign w:val="center"/>
          </w:tcPr>
          <w:p w14:paraId="019CCE7B" w14:textId="64EC8E5E" w:rsidR="001B2E84" w:rsidRPr="00E96E71" w:rsidRDefault="00303B10" w:rsidP="009A2FAC">
            <w:pPr>
              <w:spacing w:line="240" w:lineRule="auto"/>
              <w:contextualSpacing/>
              <w:rPr>
                <w:rFonts w:ascii="Arial" w:hAnsi="Arial" w:cs="Arial"/>
                <w:sz w:val="20"/>
                <w:szCs w:val="20"/>
              </w:rPr>
            </w:pPr>
            <w:r w:rsidRPr="00E96E71">
              <w:rPr>
                <w:rFonts w:ascii="Arial" w:hAnsi="Arial" w:cs="Arial"/>
                <w:sz w:val="20"/>
                <w:szCs w:val="20"/>
              </w:rPr>
              <w:t>2</w:t>
            </w:r>
          </w:p>
        </w:tc>
        <w:tc>
          <w:tcPr>
            <w:tcW w:w="2970" w:type="dxa"/>
            <w:vAlign w:val="center"/>
          </w:tcPr>
          <w:p w14:paraId="2302DEE7" w14:textId="4F6D09EF" w:rsidR="001B2E84" w:rsidRPr="00E96E71" w:rsidRDefault="005D7DD3" w:rsidP="009A2FAC">
            <w:pPr>
              <w:spacing w:line="240" w:lineRule="auto"/>
              <w:contextualSpacing/>
              <w:rPr>
                <w:rFonts w:ascii="Arial" w:hAnsi="Arial" w:cs="Arial"/>
                <w:sz w:val="20"/>
                <w:szCs w:val="20"/>
              </w:rPr>
            </w:pPr>
            <w:r w:rsidRPr="00E96E71">
              <w:rPr>
                <w:rFonts w:ascii="Arial" w:hAnsi="Arial" w:cs="Arial"/>
                <w:sz w:val="20"/>
                <w:szCs w:val="20"/>
              </w:rPr>
              <w:t xml:space="preserve">Medical </w:t>
            </w:r>
            <w:r w:rsidR="00EA2878" w:rsidRPr="00E96E71">
              <w:rPr>
                <w:rFonts w:ascii="Arial" w:hAnsi="Arial" w:cs="Arial"/>
                <w:sz w:val="20"/>
                <w:szCs w:val="20"/>
              </w:rPr>
              <w:t xml:space="preserve">UM </w:t>
            </w:r>
            <w:r w:rsidR="001B2E84" w:rsidRPr="00E96E71">
              <w:rPr>
                <w:rFonts w:ascii="Arial" w:hAnsi="Arial" w:cs="Arial"/>
                <w:sz w:val="20"/>
                <w:szCs w:val="20"/>
              </w:rPr>
              <w:t>File</w:t>
            </w:r>
          </w:p>
        </w:tc>
        <w:tc>
          <w:tcPr>
            <w:tcW w:w="7560" w:type="dxa"/>
          </w:tcPr>
          <w:p w14:paraId="7AF1733A" w14:textId="77777777" w:rsidR="001B2E84" w:rsidRPr="00E96E71" w:rsidRDefault="001B2E84" w:rsidP="009A2FAC">
            <w:pPr>
              <w:spacing w:line="240" w:lineRule="auto"/>
              <w:contextualSpacing/>
              <w:rPr>
                <w:rFonts w:ascii="Arial" w:hAnsi="Arial" w:cs="Arial"/>
                <w:sz w:val="20"/>
                <w:szCs w:val="20"/>
              </w:rPr>
            </w:pPr>
          </w:p>
        </w:tc>
        <w:tc>
          <w:tcPr>
            <w:tcW w:w="2065" w:type="dxa"/>
          </w:tcPr>
          <w:p w14:paraId="402DFCA4" w14:textId="77791397" w:rsidR="001B2E84" w:rsidRPr="00E96E71" w:rsidRDefault="001B2E84" w:rsidP="009A2FAC">
            <w:pPr>
              <w:spacing w:line="240" w:lineRule="auto"/>
              <w:contextualSpacing/>
              <w:rPr>
                <w:rFonts w:ascii="Arial" w:hAnsi="Arial" w:cs="Arial"/>
                <w:sz w:val="20"/>
                <w:szCs w:val="20"/>
              </w:rPr>
            </w:pPr>
          </w:p>
        </w:tc>
      </w:tr>
      <w:tr w:rsidR="001B2E84" w:rsidRPr="00E96E71" w14:paraId="6B7FCEFB" w14:textId="77777777" w:rsidTr="002E1873">
        <w:trPr>
          <w:trHeight w:val="530"/>
          <w:jc w:val="center"/>
        </w:trPr>
        <w:tc>
          <w:tcPr>
            <w:tcW w:w="355" w:type="dxa"/>
            <w:vAlign w:val="center"/>
          </w:tcPr>
          <w:p w14:paraId="7AA3E9EB" w14:textId="621EA6E1" w:rsidR="001B2E84" w:rsidRPr="00E96E71" w:rsidRDefault="00303B10" w:rsidP="009A2FAC">
            <w:pPr>
              <w:spacing w:line="240" w:lineRule="auto"/>
              <w:contextualSpacing/>
              <w:rPr>
                <w:rFonts w:ascii="Arial" w:hAnsi="Arial" w:cs="Arial"/>
                <w:sz w:val="20"/>
                <w:szCs w:val="20"/>
              </w:rPr>
            </w:pPr>
            <w:r w:rsidRPr="00E96E71">
              <w:rPr>
                <w:rFonts w:ascii="Arial" w:hAnsi="Arial" w:cs="Arial"/>
                <w:sz w:val="20"/>
                <w:szCs w:val="20"/>
              </w:rPr>
              <w:t>3</w:t>
            </w:r>
          </w:p>
        </w:tc>
        <w:tc>
          <w:tcPr>
            <w:tcW w:w="2970" w:type="dxa"/>
            <w:vAlign w:val="center"/>
          </w:tcPr>
          <w:p w14:paraId="5E2D5085" w14:textId="373417E3" w:rsidR="001B2E84" w:rsidRPr="00E96E71" w:rsidRDefault="00AA4C85" w:rsidP="009A2FAC">
            <w:pPr>
              <w:spacing w:line="240" w:lineRule="auto"/>
              <w:contextualSpacing/>
              <w:rPr>
                <w:rFonts w:ascii="Arial" w:hAnsi="Arial" w:cs="Arial"/>
                <w:sz w:val="20"/>
                <w:szCs w:val="20"/>
              </w:rPr>
            </w:pPr>
            <w:r w:rsidRPr="00E96E71">
              <w:rPr>
                <w:rFonts w:ascii="Arial" w:hAnsi="Arial" w:cs="Arial"/>
                <w:sz w:val="20"/>
                <w:szCs w:val="20"/>
              </w:rPr>
              <w:t>Prescription Drugs Claims File</w:t>
            </w:r>
          </w:p>
        </w:tc>
        <w:tc>
          <w:tcPr>
            <w:tcW w:w="7560" w:type="dxa"/>
          </w:tcPr>
          <w:p w14:paraId="56C76C63" w14:textId="77777777" w:rsidR="001B2E84" w:rsidRPr="00E96E71" w:rsidRDefault="001B2E84" w:rsidP="009A2FAC">
            <w:pPr>
              <w:spacing w:line="240" w:lineRule="auto"/>
              <w:contextualSpacing/>
              <w:rPr>
                <w:rFonts w:ascii="Arial" w:hAnsi="Arial" w:cs="Arial"/>
                <w:sz w:val="20"/>
                <w:szCs w:val="20"/>
              </w:rPr>
            </w:pPr>
          </w:p>
        </w:tc>
        <w:tc>
          <w:tcPr>
            <w:tcW w:w="2065" w:type="dxa"/>
          </w:tcPr>
          <w:p w14:paraId="0B76E6C5" w14:textId="55C7384B" w:rsidR="001B2E84" w:rsidRPr="00E96E71" w:rsidRDefault="001B2E84" w:rsidP="009A2FAC">
            <w:pPr>
              <w:spacing w:line="240" w:lineRule="auto"/>
              <w:contextualSpacing/>
              <w:rPr>
                <w:rFonts w:ascii="Arial" w:hAnsi="Arial" w:cs="Arial"/>
                <w:sz w:val="20"/>
                <w:szCs w:val="20"/>
              </w:rPr>
            </w:pPr>
          </w:p>
        </w:tc>
      </w:tr>
      <w:tr w:rsidR="001B2E84" w:rsidRPr="00E96E71" w14:paraId="32D6EC4F" w14:textId="77777777" w:rsidTr="002E1873">
        <w:trPr>
          <w:trHeight w:val="530"/>
          <w:jc w:val="center"/>
        </w:trPr>
        <w:tc>
          <w:tcPr>
            <w:tcW w:w="355" w:type="dxa"/>
            <w:vAlign w:val="center"/>
          </w:tcPr>
          <w:p w14:paraId="63244CA3" w14:textId="4CF4F3CF" w:rsidR="001B2E84" w:rsidRPr="00E96E71" w:rsidRDefault="00303B10" w:rsidP="009A2FAC">
            <w:pPr>
              <w:spacing w:line="240" w:lineRule="auto"/>
              <w:contextualSpacing/>
              <w:rPr>
                <w:rFonts w:ascii="Arial" w:hAnsi="Arial" w:cs="Arial"/>
                <w:sz w:val="20"/>
                <w:szCs w:val="20"/>
              </w:rPr>
            </w:pPr>
            <w:r w:rsidRPr="00E96E71">
              <w:rPr>
                <w:rFonts w:ascii="Arial" w:hAnsi="Arial" w:cs="Arial"/>
                <w:sz w:val="20"/>
                <w:szCs w:val="20"/>
              </w:rPr>
              <w:t>4</w:t>
            </w:r>
          </w:p>
        </w:tc>
        <w:tc>
          <w:tcPr>
            <w:tcW w:w="2970" w:type="dxa"/>
            <w:vAlign w:val="center"/>
          </w:tcPr>
          <w:p w14:paraId="213474F6" w14:textId="646A68B9" w:rsidR="001B2E84" w:rsidRPr="00E96E71" w:rsidRDefault="001B2E84" w:rsidP="009A2FAC">
            <w:pPr>
              <w:spacing w:line="240" w:lineRule="auto"/>
              <w:contextualSpacing/>
              <w:rPr>
                <w:rFonts w:ascii="Arial" w:hAnsi="Arial" w:cs="Arial"/>
                <w:sz w:val="20"/>
                <w:szCs w:val="20"/>
              </w:rPr>
            </w:pPr>
            <w:r w:rsidRPr="00E96E71">
              <w:rPr>
                <w:rFonts w:ascii="Arial" w:hAnsi="Arial" w:cs="Arial"/>
                <w:sz w:val="20"/>
                <w:szCs w:val="20"/>
              </w:rPr>
              <w:t xml:space="preserve">Prescription </w:t>
            </w:r>
            <w:r w:rsidR="00AA4C85" w:rsidRPr="00E96E71">
              <w:rPr>
                <w:rFonts w:ascii="Arial" w:hAnsi="Arial" w:cs="Arial"/>
                <w:sz w:val="20"/>
                <w:szCs w:val="20"/>
              </w:rPr>
              <w:t>UM</w:t>
            </w:r>
            <w:r w:rsidRPr="00E96E71">
              <w:rPr>
                <w:rFonts w:ascii="Arial" w:hAnsi="Arial" w:cs="Arial"/>
                <w:sz w:val="20"/>
                <w:szCs w:val="20"/>
              </w:rPr>
              <w:t xml:space="preserve"> File</w:t>
            </w:r>
          </w:p>
        </w:tc>
        <w:tc>
          <w:tcPr>
            <w:tcW w:w="7560" w:type="dxa"/>
          </w:tcPr>
          <w:p w14:paraId="45F99061" w14:textId="77777777" w:rsidR="001B2E84" w:rsidRPr="00E96E71" w:rsidRDefault="001B2E84" w:rsidP="009A2FAC">
            <w:pPr>
              <w:spacing w:line="240" w:lineRule="auto"/>
              <w:contextualSpacing/>
              <w:rPr>
                <w:rFonts w:ascii="Arial" w:hAnsi="Arial" w:cs="Arial"/>
                <w:sz w:val="20"/>
                <w:szCs w:val="20"/>
              </w:rPr>
            </w:pPr>
          </w:p>
        </w:tc>
        <w:tc>
          <w:tcPr>
            <w:tcW w:w="2065" w:type="dxa"/>
          </w:tcPr>
          <w:p w14:paraId="7477CBEB" w14:textId="77424FBA" w:rsidR="001B2E84" w:rsidRPr="00E96E71" w:rsidRDefault="001B2E84" w:rsidP="009A2FAC">
            <w:pPr>
              <w:spacing w:line="240" w:lineRule="auto"/>
              <w:contextualSpacing/>
              <w:rPr>
                <w:rFonts w:ascii="Arial" w:hAnsi="Arial" w:cs="Arial"/>
                <w:sz w:val="20"/>
                <w:szCs w:val="20"/>
              </w:rPr>
            </w:pPr>
          </w:p>
        </w:tc>
      </w:tr>
    </w:tbl>
    <w:p w14:paraId="7A3468F0" w14:textId="77777777" w:rsidR="000202B2" w:rsidRPr="00E96E71" w:rsidRDefault="000202B2" w:rsidP="0075639C">
      <w:pPr>
        <w:rPr>
          <w:rFonts w:ascii="Arial" w:hAnsi="Arial" w:cs="Arial"/>
        </w:rPr>
      </w:pPr>
    </w:p>
    <w:sectPr w:rsidR="000202B2" w:rsidRPr="00E96E71" w:rsidSect="00BA6748">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466A" w14:textId="77777777" w:rsidR="00E41E9E" w:rsidRDefault="00E41E9E" w:rsidP="00BA6748">
      <w:pPr>
        <w:spacing w:after="0" w:line="240" w:lineRule="auto"/>
      </w:pPr>
      <w:r>
        <w:separator/>
      </w:r>
    </w:p>
  </w:endnote>
  <w:endnote w:type="continuationSeparator" w:id="0">
    <w:p w14:paraId="1626C52A" w14:textId="77777777" w:rsidR="00E41E9E" w:rsidRDefault="00E41E9E" w:rsidP="00BA6748">
      <w:pPr>
        <w:spacing w:after="0" w:line="240" w:lineRule="auto"/>
      </w:pPr>
      <w:r>
        <w:continuationSeparator/>
      </w:r>
    </w:p>
  </w:endnote>
  <w:endnote w:type="continuationNotice" w:id="1">
    <w:p w14:paraId="44C9CCC2" w14:textId="77777777" w:rsidR="00E41E9E" w:rsidRDefault="00E41E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2050" w14:textId="77777777" w:rsidR="009C7C10" w:rsidRDefault="009C7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3161" w14:textId="74BC7DD9" w:rsidR="000F3E1A" w:rsidRDefault="007F3B19">
    <w:pPr>
      <w:pStyle w:val="Footer"/>
    </w:pPr>
    <w:r>
      <w:rPr>
        <w:noProof/>
        <w:color w:val="156082" w:themeColor="accent1"/>
      </w:rPr>
      <mc:AlternateContent>
        <mc:Choice Requires="wps">
          <w:drawing>
            <wp:anchor distT="0" distB="0" distL="114300" distR="114300" simplePos="0" relativeHeight="251658752" behindDoc="0" locked="0" layoutInCell="1" allowOverlap="1" wp14:anchorId="7E34F466" wp14:editId="5090F5F3">
              <wp:simplePos x="0" y="0"/>
              <wp:positionH relativeFrom="page">
                <wp:align>center</wp:align>
              </wp:positionH>
              <wp:positionV relativeFrom="page">
                <wp:align>center</wp:align>
              </wp:positionV>
              <wp:extent cx="7364730" cy="9528810"/>
              <wp:effectExtent l="0" t="0" r="26670" b="26670"/>
              <wp:wrapNone/>
              <wp:docPr id="2123256076"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BF337EF" id="Rectangle 247" o:spid="_x0000_s1026" style="position:absolute;margin-left:0;margin-top:0;width:579.9pt;height:750.3pt;z-index:251662337;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EB70" w14:textId="572BB6BD" w:rsidR="00EA24E3" w:rsidRDefault="002D5DE3">
    <w:pPr>
      <w:pStyle w:val="Footer"/>
    </w:pPr>
    <w:r>
      <w:rPr>
        <w:noProof/>
        <w:color w:val="156082" w:themeColor="accent1"/>
      </w:rPr>
      <mc:AlternateContent>
        <mc:Choice Requires="wps">
          <w:drawing>
            <wp:anchor distT="0" distB="0" distL="114300" distR="114300" simplePos="0" relativeHeight="251657728" behindDoc="0" locked="0" layoutInCell="1" allowOverlap="1" wp14:anchorId="0FF4CFDF" wp14:editId="3DD7645F">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FB6220D" id="Rectangle 247" o:spid="_x0000_s1026" style="position:absolute;margin-left:0;margin-top:0;width:579.9pt;height:750.3pt;z-index:251660289;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sidR="000F3E1A">
      <w:rPr>
        <w:color w:val="156082" w:themeColor="accent1"/>
      </w:rPr>
      <w:t>Updated 2/2</w:t>
    </w:r>
    <w:r w:rsidR="009C7C10">
      <w:rPr>
        <w:color w:val="156082" w:themeColor="accent1"/>
      </w:rPr>
      <w:t>7</w:t>
    </w:r>
    <w:r w:rsidR="000F3E1A">
      <w:rPr>
        <w:color w:val="156082" w:themeColor="accent1"/>
      </w:rPr>
      <w:t>/2</w:t>
    </w:r>
    <w:r w:rsidR="00F52CC4">
      <w:rPr>
        <w:color w:val="156082" w:themeColor="accent1"/>
      </w:rPr>
      <w:t>6</w:t>
    </w:r>
    <w:r w:rsidR="00FF39F9">
      <w:rPr>
        <w:color w:val="156082" w:themeColor="accent1"/>
      </w:rPr>
      <w:t xml:space="preserve"> |</w:t>
    </w:r>
    <w:r w:rsidR="00FF39F9" w:rsidRPr="00B06A1D">
      <w:rPr>
        <w:color w:val="156082" w:themeColor="accent1"/>
      </w:rPr>
      <w:t xml:space="preserve"> </w:t>
    </w:r>
    <w:r w:rsidRPr="00B06A1D">
      <w:rPr>
        <w:rFonts w:asciiTheme="majorHAnsi" w:eastAsiaTheme="majorEastAsia" w:hAnsiTheme="majorHAnsi" w:cstheme="majorBidi"/>
        <w:color w:val="156082" w:themeColor="accent1"/>
      </w:rPr>
      <w:t xml:space="preserve">pg. </w:t>
    </w:r>
    <w:r w:rsidRPr="00B06A1D">
      <w:rPr>
        <w:rFonts w:eastAsiaTheme="minorEastAsia"/>
        <w:color w:val="156082" w:themeColor="accent1"/>
      </w:rPr>
      <w:fldChar w:fldCharType="begin"/>
    </w:r>
    <w:r w:rsidRPr="00B06A1D">
      <w:rPr>
        <w:color w:val="156082" w:themeColor="accent1"/>
      </w:rPr>
      <w:instrText xml:space="preserve"> PAGE    \* MERGEFORMAT </w:instrText>
    </w:r>
    <w:r w:rsidRPr="00B06A1D">
      <w:rPr>
        <w:rFonts w:eastAsiaTheme="minorEastAsia"/>
        <w:color w:val="156082" w:themeColor="accent1"/>
      </w:rPr>
      <w:fldChar w:fldCharType="separate"/>
    </w:r>
    <w:r w:rsidRPr="00B06A1D">
      <w:rPr>
        <w:rFonts w:asciiTheme="majorHAnsi" w:eastAsiaTheme="majorEastAsia" w:hAnsiTheme="majorHAnsi" w:cstheme="majorBidi"/>
        <w:noProof/>
        <w:color w:val="156082" w:themeColor="accent1"/>
      </w:rPr>
      <w:t>2</w:t>
    </w:r>
    <w:r w:rsidRPr="00B06A1D">
      <w:rPr>
        <w:rFonts w:asciiTheme="majorHAnsi" w:eastAsiaTheme="majorEastAsia" w:hAnsiTheme="majorHAnsi" w:cstheme="majorBidi"/>
        <w:noProof/>
        <w:color w:val="156082"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FACD5" w14:textId="77777777" w:rsidR="00E41E9E" w:rsidRDefault="00E41E9E" w:rsidP="00BA6748">
      <w:pPr>
        <w:spacing w:after="0" w:line="240" w:lineRule="auto"/>
      </w:pPr>
      <w:r>
        <w:separator/>
      </w:r>
    </w:p>
  </w:footnote>
  <w:footnote w:type="continuationSeparator" w:id="0">
    <w:p w14:paraId="0BC6A791" w14:textId="77777777" w:rsidR="00E41E9E" w:rsidRDefault="00E41E9E" w:rsidP="00BA6748">
      <w:pPr>
        <w:spacing w:after="0" w:line="240" w:lineRule="auto"/>
      </w:pPr>
      <w:r>
        <w:continuationSeparator/>
      </w:r>
    </w:p>
  </w:footnote>
  <w:footnote w:type="continuationNotice" w:id="1">
    <w:p w14:paraId="139185D4" w14:textId="77777777" w:rsidR="00E41E9E" w:rsidRDefault="00E41E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1732" w14:textId="77777777" w:rsidR="009C7C10" w:rsidRDefault="009C7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C528" w14:textId="317CC2C4" w:rsidR="00BA6748" w:rsidRDefault="00BA6748" w:rsidP="00BA6748">
    <w:pPr>
      <w:pStyle w:val="Heade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5680" behindDoc="0" locked="0" layoutInCell="1" allowOverlap="1" wp14:anchorId="3F2E2DC9" wp14:editId="699F5574">
              <wp:simplePos x="0" y="0"/>
              <wp:positionH relativeFrom="column">
                <wp:posOffset>-257175</wp:posOffset>
              </wp:positionH>
              <wp:positionV relativeFrom="paragraph">
                <wp:posOffset>-200025</wp:posOffset>
              </wp:positionV>
              <wp:extent cx="771525" cy="638175"/>
              <wp:effectExtent l="0" t="0" r="28575" b="28575"/>
              <wp:wrapNone/>
              <wp:docPr id="1522348248" name="Text Box 1"/>
              <wp:cNvGraphicFramePr/>
              <a:graphic xmlns:a="http://schemas.openxmlformats.org/drawingml/2006/main">
                <a:graphicData uri="http://schemas.microsoft.com/office/word/2010/wordprocessingShape">
                  <wps:wsp>
                    <wps:cNvSpPr txBox="1"/>
                    <wps:spPr>
                      <a:xfrm>
                        <a:off x="0" y="0"/>
                        <a:ext cx="771525" cy="638175"/>
                      </a:xfrm>
                      <a:prstGeom prst="rect">
                        <a:avLst/>
                      </a:prstGeom>
                      <a:solidFill>
                        <a:schemeClr val="lt1"/>
                      </a:solidFill>
                      <a:ln w="6350">
                        <a:solidFill>
                          <a:schemeClr val="bg1"/>
                        </a:solidFill>
                      </a:ln>
                    </wps:spPr>
                    <wps:txbx>
                      <w:txbxContent>
                        <w:p w14:paraId="23E522CA" w14:textId="77777777" w:rsidR="00BA6748" w:rsidRDefault="00BA6748" w:rsidP="00BA6748">
                          <w:r>
                            <w:rPr>
                              <w:noProof/>
                            </w:rPr>
                            <w:drawing>
                              <wp:inline distT="0" distB="0" distL="0" distR="0" wp14:anchorId="12A127D4" wp14:editId="4B81ABA8">
                                <wp:extent cx="643890" cy="511810"/>
                                <wp:effectExtent l="0" t="0" r="3810" b="2540"/>
                                <wp:docPr id="1547515018"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3890" cy="5118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E2DC9" id="_x0000_t202" coordsize="21600,21600" o:spt="202" path="m,l,21600r21600,l21600,xe">
              <v:stroke joinstyle="miter"/>
              <v:path gradientshapeok="t" o:connecttype="rect"/>
            </v:shapetype>
            <v:shape id="Text Box 1" o:spid="_x0000_s1026" type="#_x0000_t202" style="position:absolute;left:0;text-align:left;margin-left:-20.25pt;margin-top:-15.75pt;width:60.75pt;height:5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" fillcolor="white [3201]" strokecolor="white [3212]" strokeweight=".5pt">
              <v:textbox>
                <w:txbxContent>
                  <w:p w14:paraId="23E522CA" w14:textId="77777777" w:rsidR="00BA6748" w:rsidRDefault="00BA6748" w:rsidP="00BA6748">
                    <w:r>
                      <w:rPr>
                        <w:noProof/>
                      </w:rPr>
                      <w:drawing>
                        <wp:inline distT="0" distB="0" distL="0" distR="0" wp14:anchorId="12A127D4" wp14:editId="4B81ABA8">
                          <wp:extent cx="643890" cy="511810"/>
                          <wp:effectExtent l="0" t="0" r="3810" b="2540"/>
                          <wp:docPr id="1547515018"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43890" cy="511810"/>
                                  </a:xfrm>
                                  <a:prstGeom prst="rect">
                                    <a:avLst/>
                                  </a:prstGeom>
                                </pic:spPr>
                              </pic:pic>
                            </a:graphicData>
                          </a:graphic>
                        </wp:inline>
                      </w:drawing>
                    </w:r>
                  </w:p>
                </w:txbxContent>
              </v:textbox>
            </v:shape>
          </w:pict>
        </mc:Fallback>
      </mc:AlternateContent>
    </w:r>
    <w:r w:rsidRPr="007F34A4">
      <w:rPr>
        <w:rFonts w:ascii="Arial" w:hAnsi="Arial" w:cs="Arial"/>
        <w:sz w:val="24"/>
        <w:szCs w:val="24"/>
      </w:rPr>
      <w:t xml:space="preserve"> </w:t>
    </w:r>
  </w:p>
  <w:p w14:paraId="3DCB0B49" w14:textId="77777777" w:rsidR="00BA6748" w:rsidRDefault="00BA6748" w:rsidP="00BA674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7ADF" w14:textId="71F189E5" w:rsidR="00BA6748" w:rsidRPr="007F34A4" w:rsidRDefault="00CA7F7C" w:rsidP="00BA6748">
    <w:pPr>
      <w:pStyle w:val="Header"/>
      <w:jc w:val="center"/>
      <w:rPr>
        <w:rFonts w:ascii="Arial" w:hAnsi="Arial" w:cs="Arial"/>
        <w:sz w:val="24"/>
        <w:szCs w:val="24"/>
      </w:rPr>
    </w:pPr>
    <w:r w:rsidRPr="007F34A4">
      <w:rPr>
        <w:rFonts w:ascii="Arial" w:hAnsi="Arial" w:cs="Arial"/>
        <w:sz w:val="24"/>
        <w:szCs w:val="24"/>
      </w:rPr>
      <w:t>Mental Health</w:t>
    </w:r>
    <w:r w:rsidR="009331D8">
      <w:rPr>
        <w:rFonts w:ascii="Arial" w:hAnsi="Arial" w:cs="Arial"/>
        <w:sz w:val="24"/>
        <w:szCs w:val="24"/>
      </w:rPr>
      <w:t>/</w:t>
    </w:r>
    <w:r w:rsidRPr="007F34A4">
      <w:rPr>
        <w:rFonts w:ascii="Arial" w:hAnsi="Arial" w:cs="Arial"/>
        <w:sz w:val="24"/>
        <w:szCs w:val="24"/>
      </w:rPr>
      <w:t xml:space="preserve">Substance Use Disorder </w:t>
    </w:r>
    <w:r w:rsidR="009331D8">
      <w:rPr>
        <w:rFonts w:ascii="Arial" w:hAnsi="Arial" w:cs="Arial"/>
        <w:sz w:val="24"/>
        <w:szCs w:val="24"/>
      </w:rPr>
      <w:t>(MH/SUD)</w:t>
    </w:r>
    <w:r>
      <w:rPr>
        <w:rFonts w:ascii="Arial" w:hAnsi="Arial" w:cs="Arial"/>
        <w:sz w:val="24"/>
        <w:szCs w:val="24"/>
      </w:rPr>
      <w:t xml:space="preserve"> Parity </w:t>
    </w:r>
    <w:r w:rsidR="00BA6748">
      <w:rPr>
        <w:rFonts w:ascii="Arial" w:hAnsi="Arial" w:cs="Arial"/>
        <w:noProof/>
        <w:sz w:val="24"/>
        <w:szCs w:val="24"/>
      </w:rPr>
      <mc:AlternateContent>
        <mc:Choice Requires="wps">
          <w:drawing>
            <wp:anchor distT="0" distB="0" distL="114300" distR="114300" simplePos="0" relativeHeight="251656704" behindDoc="0" locked="0" layoutInCell="1" allowOverlap="1" wp14:anchorId="6ABB94E7" wp14:editId="3160EDAC">
              <wp:simplePos x="0" y="0"/>
              <wp:positionH relativeFrom="column">
                <wp:posOffset>-476250</wp:posOffset>
              </wp:positionH>
              <wp:positionV relativeFrom="paragraph">
                <wp:posOffset>-190500</wp:posOffset>
              </wp:positionV>
              <wp:extent cx="771525" cy="638175"/>
              <wp:effectExtent l="0" t="0" r="28575" b="28575"/>
              <wp:wrapNone/>
              <wp:docPr id="1402139402" name="Text Box 1"/>
              <wp:cNvGraphicFramePr/>
              <a:graphic xmlns:a="http://schemas.openxmlformats.org/drawingml/2006/main">
                <a:graphicData uri="http://schemas.microsoft.com/office/word/2010/wordprocessingShape">
                  <wps:wsp>
                    <wps:cNvSpPr txBox="1"/>
                    <wps:spPr>
                      <a:xfrm>
                        <a:off x="0" y="0"/>
                        <a:ext cx="771525" cy="638175"/>
                      </a:xfrm>
                      <a:prstGeom prst="rect">
                        <a:avLst/>
                      </a:prstGeom>
                      <a:solidFill>
                        <a:schemeClr val="lt1"/>
                      </a:solidFill>
                      <a:ln w="6350">
                        <a:solidFill>
                          <a:schemeClr val="bg1"/>
                        </a:solidFill>
                      </a:ln>
                    </wps:spPr>
                    <wps:txbx>
                      <w:txbxContent>
                        <w:p w14:paraId="458B78A4" w14:textId="77777777" w:rsidR="00BA6748" w:rsidRDefault="00BA6748" w:rsidP="00BA6748">
                          <w:r>
                            <w:rPr>
                              <w:noProof/>
                            </w:rPr>
                            <w:drawing>
                              <wp:inline distT="0" distB="0" distL="0" distR="0" wp14:anchorId="218C3992" wp14:editId="1B894BB1">
                                <wp:extent cx="643890" cy="511810"/>
                                <wp:effectExtent l="0" t="0" r="3810" b="2540"/>
                                <wp:docPr id="435409004"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3890" cy="5118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B94E7" id="_x0000_t202" coordsize="21600,21600" o:spt="202" path="m,l,21600r21600,l21600,xe">
              <v:stroke joinstyle="miter"/>
              <v:path gradientshapeok="t" o:connecttype="rect"/>
            </v:shapetype>
            <v:shape id="_x0000_s1027" type="#_x0000_t202" style="position:absolute;left:0;text-align:left;margin-left:-37.5pt;margin-top:-15pt;width:60.75pt;height:5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" fillcolor="white [3201]" strokecolor="white [3212]" strokeweight=".5pt">
              <v:textbox>
                <w:txbxContent>
                  <w:p w14:paraId="458B78A4" w14:textId="77777777" w:rsidR="00BA6748" w:rsidRDefault="00BA6748" w:rsidP="00BA6748">
                    <w:r>
                      <w:rPr>
                        <w:noProof/>
                      </w:rPr>
                      <w:drawing>
                        <wp:inline distT="0" distB="0" distL="0" distR="0" wp14:anchorId="218C3992" wp14:editId="1B894BB1">
                          <wp:extent cx="643890" cy="511810"/>
                          <wp:effectExtent l="0" t="0" r="3810" b="2540"/>
                          <wp:docPr id="435409004"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43890" cy="511810"/>
                                  </a:xfrm>
                                  <a:prstGeom prst="rect">
                                    <a:avLst/>
                                  </a:prstGeom>
                                </pic:spPr>
                              </pic:pic>
                            </a:graphicData>
                          </a:graphic>
                        </wp:inline>
                      </w:drawing>
                    </w:r>
                  </w:p>
                </w:txbxContent>
              </v:textbox>
            </v:shape>
          </w:pict>
        </mc:Fallback>
      </mc:AlternateContent>
    </w:r>
    <w:r w:rsidR="00BA6748" w:rsidRPr="007F34A4">
      <w:rPr>
        <w:rFonts w:ascii="Arial" w:hAnsi="Arial" w:cs="Arial"/>
        <w:sz w:val="24"/>
        <w:szCs w:val="24"/>
      </w:rPr>
      <w:t>Review by Office of Superintendent of Insurance</w:t>
    </w:r>
  </w:p>
  <w:p w14:paraId="3B5BB858" w14:textId="63E7AF5E" w:rsidR="00BA6748" w:rsidRDefault="00BA6748" w:rsidP="00D81124">
    <w:pPr>
      <w:pStyle w:val="Header"/>
      <w:jc w:val="center"/>
      <w:rPr>
        <w:rFonts w:ascii="Arial" w:hAnsi="Arial" w:cs="Arial"/>
        <w:sz w:val="24"/>
        <w:szCs w:val="24"/>
      </w:rPr>
    </w:pPr>
    <w:r w:rsidRPr="007F34A4">
      <w:rPr>
        <w:rFonts w:ascii="Arial" w:hAnsi="Arial" w:cs="Arial"/>
        <w:sz w:val="24"/>
        <w:szCs w:val="24"/>
      </w:rPr>
      <w:t>202</w:t>
    </w:r>
    <w:r w:rsidR="00F35E21">
      <w:rPr>
        <w:rFonts w:ascii="Arial" w:hAnsi="Arial" w:cs="Arial"/>
        <w:sz w:val="24"/>
        <w:szCs w:val="24"/>
      </w:rPr>
      <w:t>6</w:t>
    </w:r>
    <w:r w:rsidRPr="007F34A4">
      <w:rPr>
        <w:rFonts w:ascii="Arial" w:hAnsi="Arial" w:cs="Arial"/>
        <w:sz w:val="24"/>
        <w:szCs w:val="24"/>
      </w:rPr>
      <w:t xml:space="preserve"> </w:t>
    </w:r>
    <w:r w:rsidR="00FE4C7B">
      <w:rPr>
        <w:rFonts w:ascii="Arial" w:hAnsi="Arial" w:cs="Arial"/>
        <w:sz w:val="24"/>
        <w:szCs w:val="24"/>
      </w:rPr>
      <w:t xml:space="preserve">Claims </w:t>
    </w:r>
    <w:r w:rsidR="009331D8">
      <w:rPr>
        <w:rFonts w:ascii="Arial" w:hAnsi="Arial" w:cs="Arial"/>
        <w:sz w:val="24"/>
        <w:szCs w:val="24"/>
      </w:rPr>
      <w:t>and</w:t>
    </w:r>
    <w:r w:rsidR="00FE4C7B">
      <w:rPr>
        <w:rFonts w:ascii="Arial" w:hAnsi="Arial" w:cs="Arial"/>
        <w:sz w:val="24"/>
        <w:szCs w:val="24"/>
      </w:rPr>
      <w:t xml:space="preserve"> </w:t>
    </w:r>
    <w:r w:rsidR="00C027F7">
      <w:rPr>
        <w:rFonts w:ascii="Arial" w:hAnsi="Arial" w:cs="Arial"/>
        <w:sz w:val="24"/>
        <w:szCs w:val="24"/>
      </w:rPr>
      <w:t>Utilization Management Phase 1</w:t>
    </w:r>
    <w:r w:rsidR="00D81124">
      <w:rPr>
        <w:rFonts w:ascii="Arial" w:hAnsi="Arial" w:cs="Arial"/>
        <w:sz w:val="24"/>
        <w:szCs w:val="24"/>
      </w:rPr>
      <w:t xml:space="preserve"> </w:t>
    </w:r>
    <w:r w:rsidR="009331D8">
      <w:rPr>
        <w:rFonts w:ascii="Arial" w:hAnsi="Arial" w:cs="Arial"/>
        <w:sz w:val="24"/>
        <w:szCs w:val="24"/>
      </w:rPr>
      <w:t>Compliance Filing</w:t>
    </w:r>
    <w:r w:rsidR="00D81124">
      <w:rPr>
        <w:rFonts w:ascii="Arial" w:hAnsi="Arial" w:cs="Arial"/>
        <w:sz w:val="24"/>
        <w:szCs w:val="24"/>
      </w:rPr>
      <w:t xml:space="preserve"> </w:t>
    </w:r>
  </w:p>
  <w:p w14:paraId="66B23590" w14:textId="2ECBA0CB" w:rsidR="00BA6748" w:rsidRDefault="009331D8" w:rsidP="00E927C3">
    <w:pPr>
      <w:pStyle w:val="Header"/>
      <w:jc w:val="center"/>
      <w:rPr>
        <w:rFonts w:ascii="Arial" w:hAnsi="Arial" w:cs="Arial"/>
        <w:b/>
        <w:bCs/>
        <w:sz w:val="24"/>
        <w:szCs w:val="24"/>
      </w:rPr>
    </w:pPr>
    <w:r w:rsidRPr="009331D8">
      <w:rPr>
        <w:rFonts w:ascii="Arial" w:hAnsi="Arial" w:cs="Arial"/>
        <w:b/>
        <w:bCs/>
        <w:sz w:val="24"/>
        <w:szCs w:val="24"/>
      </w:rPr>
      <w:t xml:space="preserve">Claims </w:t>
    </w:r>
    <w:r>
      <w:rPr>
        <w:rFonts w:ascii="Arial" w:hAnsi="Arial" w:cs="Arial"/>
        <w:b/>
        <w:bCs/>
        <w:sz w:val="24"/>
        <w:szCs w:val="24"/>
      </w:rPr>
      <w:t>and</w:t>
    </w:r>
    <w:r w:rsidRPr="009331D8">
      <w:rPr>
        <w:rFonts w:ascii="Arial" w:hAnsi="Arial" w:cs="Arial"/>
        <w:b/>
        <w:bCs/>
        <w:sz w:val="24"/>
        <w:szCs w:val="24"/>
      </w:rPr>
      <w:t xml:space="preserve"> Utilization Management Phase 1</w:t>
    </w:r>
    <w:r>
      <w:rPr>
        <w:rFonts w:ascii="Arial" w:hAnsi="Arial" w:cs="Arial"/>
        <w:sz w:val="24"/>
        <w:szCs w:val="24"/>
      </w:rPr>
      <w:t xml:space="preserve"> </w:t>
    </w:r>
    <w:r w:rsidR="00E927C3">
      <w:rPr>
        <w:rFonts w:ascii="Arial" w:hAnsi="Arial" w:cs="Arial"/>
        <w:b/>
        <w:bCs/>
        <w:sz w:val="24"/>
        <w:szCs w:val="24"/>
      </w:rPr>
      <w:t>Coversheet for Raw Data File Layout</w:t>
    </w:r>
    <w:r w:rsidR="003C6D61">
      <w:rPr>
        <w:rFonts w:ascii="Arial" w:hAnsi="Arial" w:cs="Arial"/>
        <w:b/>
        <w:bCs/>
        <w:sz w:val="24"/>
        <w:szCs w:val="24"/>
      </w:rPr>
      <w:t>s</w:t>
    </w:r>
  </w:p>
  <w:p w14:paraId="7A98B49E" w14:textId="77777777" w:rsidR="00E927C3" w:rsidRDefault="00E927C3" w:rsidP="00E927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16C4"/>
    <w:multiLevelType w:val="hybridMultilevel"/>
    <w:tmpl w:val="15E687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415D8"/>
    <w:multiLevelType w:val="hybridMultilevel"/>
    <w:tmpl w:val="5FE8DDEE"/>
    <w:lvl w:ilvl="0" w:tplc="E7BEECC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C2136"/>
    <w:multiLevelType w:val="hybridMultilevel"/>
    <w:tmpl w:val="A45CE11E"/>
    <w:lvl w:ilvl="0" w:tplc="3AD801D0">
      <w:start w:val="1"/>
      <w:numFmt w:val="decimal"/>
      <w:lvlText w:val="%1."/>
      <w:lvlJc w:val="left"/>
      <w:pPr>
        <w:ind w:left="360" w:hanging="360"/>
      </w:pPr>
      <w:rPr>
        <w:rFonts w:ascii="Arial" w:hAnsi="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1B2175"/>
    <w:multiLevelType w:val="multilevel"/>
    <w:tmpl w:val="C71C1840"/>
    <w:lvl w:ilvl="0">
      <w:start w:val="1"/>
      <w:numFmt w:val="decimal"/>
      <w:lvlText w:val="%1."/>
      <w:lvlJc w:val="left"/>
      <w:pPr>
        <w:tabs>
          <w:tab w:val="num" w:pos="360"/>
        </w:tabs>
        <w:ind w:left="360" w:hanging="360"/>
      </w:pPr>
      <w:rPr>
        <w:rFonts w:hint="default"/>
        <w:sz w:val="28"/>
        <w:szCs w:val="28"/>
      </w:rPr>
    </w:lvl>
    <w:lvl w:ilvl="1">
      <w:start w:val="1"/>
      <w:numFmt w:val="decimal"/>
      <w:lvlText w:val="%2."/>
      <w:lvlJc w:val="left"/>
      <w:pPr>
        <w:ind w:left="1080" w:hanging="360"/>
      </w:pPr>
      <w:rPr>
        <w:rFonts w:ascii="Arial" w:hAnsi="Arial" w:cs="Arial" w:hint="default"/>
        <w:b/>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4C27AEE"/>
    <w:multiLevelType w:val="hybridMultilevel"/>
    <w:tmpl w:val="A66E6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55E7F"/>
    <w:multiLevelType w:val="hybridMultilevel"/>
    <w:tmpl w:val="E30014E0"/>
    <w:lvl w:ilvl="0" w:tplc="DDF0F660">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4F70E3"/>
    <w:multiLevelType w:val="hybridMultilevel"/>
    <w:tmpl w:val="0AE2CC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31881"/>
    <w:multiLevelType w:val="hybridMultilevel"/>
    <w:tmpl w:val="29C0F7FC"/>
    <w:lvl w:ilvl="0" w:tplc="0409000F">
      <w:start w:val="1"/>
      <w:numFmt w:val="decimal"/>
      <w:lvlText w:val="%1."/>
      <w:lvlJc w:val="left"/>
      <w:pPr>
        <w:ind w:left="360" w:hanging="360"/>
      </w:pPr>
      <w:rPr>
        <w:rFonts w:hint="default"/>
      </w:rPr>
    </w:lvl>
    <w:lvl w:ilvl="1" w:tplc="FFFFFFFF">
      <w:start w:val="1"/>
      <w:numFmt w:val="upperLetter"/>
      <w:lvlText w:val="%2."/>
      <w:lvlJc w:val="left"/>
      <w:pPr>
        <w:ind w:left="1080" w:hanging="360"/>
      </w:pPr>
      <w:rPr>
        <w:rFonts w:asciiTheme="minorHAnsi" w:eastAsiaTheme="minorHAnsi" w:hAnsiTheme="minorHAnsi" w:cstheme="minorBidi"/>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B011030"/>
    <w:multiLevelType w:val="hybridMultilevel"/>
    <w:tmpl w:val="86ACE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FF1975"/>
    <w:multiLevelType w:val="hybridMultilevel"/>
    <w:tmpl w:val="ABF8E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A3463C"/>
    <w:multiLevelType w:val="hybridMultilevel"/>
    <w:tmpl w:val="81CCDB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26644C"/>
    <w:multiLevelType w:val="hybridMultilevel"/>
    <w:tmpl w:val="15E6874C"/>
    <w:lvl w:ilvl="0" w:tplc="BC628D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5E3777"/>
    <w:multiLevelType w:val="hybridMultilevel"/>
    <w:tmpl w:val="B282A38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E9F32BA"/>
    <w:multiLevelType w:val="hybridMultilevel"/>
    <w:tmpl w:val="B282A38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DA35261"/>
    <w:multiLevelType w:val="hybridMultilevel"/>
    <w:tmpl w:val="06901EB4"/>
    <w:lvl w:ilvl="0" w:tplc="5906A082">
      <w:start w:val="1"/>
      <w:numFmt w:val="decimal"/>
      <w:lvlText w:val="%1."/>
      <w:lvlJc w:val="left"/>
      <w:pPr>
        <w:ind w:left="360" w:hanging="360"/>
      </w:pPr>
      <w:rPr>
        <w:rFonts w:ascii="Arial" w:eastAsiaTheme="minorHAnsi" w:hAnsi="Arial" w:cs="Arial"/>
        <w:b w:val="0"/>
        <w:bCs w:val="0"/>
      </w:rPr>
    </w:lvl>
    <w:lvl w:ilvl="1" w:tplc="D7989C74">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12C0317"/>
    <w:multiLevelType w:val="hybridMultilevel"/>
    <w:tmpl w:val="B282A38C"/>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1452159"/>
    <w:multiLevelType w:val="hybridMultilevel"/>
    <w:tmpl w:val="2FD2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635F8D"/>
    <w:multiLevelType w:val="hybridMultilevel"/>
    <w:tmpl w:val="A0E87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B13FD"/>
    <w:multiLevelType w:val="hybridMultilevel"/>
    <w:tmpl w:val="B282A38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67675249">
    <w:abstractNumId w:val="8"/>
  </w:num>
  <w:num w:numId="2" w16cid:durableId="1044793899">
    <w:abstractNumId w:val="15"/>
  </w:num>
  <w:num w:numId="3" w16cid:durableId="369064626">
    <w:abstractNumId w:val="11"/>
  </w:num>
  <w:num w:numId="4" w16cid:durableId="1843081358">
    <w:abstractNumId w:val="16"/>
  </w:num>
  <w:num w:numId="5" w16cid:durableId="185872347">
    <w:abstractNumId w:val="0"/>
  </w:num>
  <w:num w:numId="6" w16cid:durableId="469054947">
    <w:abstractNumId w:val="17"/>
  </w:num>
  <w:num w:numId="7" w16cid:durableId="259684750">
    <w:abstractNumId w:val="1"/>
  </w:num>
  <w:num w:numId="8" w16cid:durableId="607079519">
    <w:abstractNumId w:val="4"/>
  </w:num>
  <w:num w:numId="9" w16cid:durableId="2131243498">
    <w:abstractNumId w:val="12"/>
  </w:num>
  <w:num w:numId="10" w16cid:durableId="149760710">
    <w:abstractNumId w:val="18"/>
  </w:num>
  <w:num w:numId="11" w16cid:durableId="363480079">
    <w:abstractNumId w:val="9"/>
  </w:num>
  <w:num w:numId="12" w16cid:durableId="912204127">
    <w:abstractNumId w:val="13"/>
  </w:num>
  <w:num w:numId="13" w16cid:durableId="695351234">
    <w:abstractNumId w:val="10"/>
  </w:num>
  <w:num w:numId="14" w16cid:durableId="1275600047">
    <w:abstractNumId w:val="7"/>
  </w:num>
  <w:num w:numId="15" w16cid:durableId="1975871051">
    <w:abstractNumId w:val="5"/>
  </w:num>
  <w:num w:numId="16" w16cid:durableId="782572295">
    <w:abstractNumId w:val="3"/>
  </w:num>
  <w:num w:numId="17" w16cid:durableId="1161391103">
    <w:abstractNumId w:val="14"/>
  </w:num>
  <w:num w:numId="18" w16cid:durableId="2124104565">
    <w:abstractNumId w:val="6"/>
  </w:num>
  <w:num w:numId="19" w16cid:durableId="726344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48"/>
    <w:rsid w:val="000001D6"/>
    <w:rsid w:val="00002499"/>
    <w:rsid w:val="00005AEA"/>
    <w:rsid w:val="0001283B"/>
    <w:rsid w:val="00012D7F"/>
    <w:rsid w:val="000144B2"/>
    <w:rsid w:val="0001474D"/>
    <w:rsid w:val="000202B2"/>
    <w:rsid w:val="00021131"/>
    <w:rsid w:val="00022DA5"/>
    <w:rsid w:val="000268E0"/>
    <w:rsid w:val="00027967"/>
    <w:rsid w:val="00035E3C"/>
    <w:rsid w:val="00040225"/>
    <w:rsid w:val="00042609"/>
    <w:rsid w:val="00043862"/>
    <w:rsid w:val="00044F32"/>
    <w:rsid w:val="00052864"/>
    <w:rsid w:val="00053395"/>
    <w:rsid w:val="00060D32"/>
    <w:rsid w:val="00063C0A"/>
    <w:rsid w:val="00074CC7"/>
    <w:rsid w:val="00077E4E"/>
    <w:rsid w:val="00080872"/>
    <w:rsid w:val="000817B0"/>
    <w:rsid w:val="0008292F"/>
    <w:rsid w:val="00084733"/>
    <w:rsid w:val="00090CA3"/>
    <w:rsid w:val="00091990"/>
    <w:rsid w:val="000967B3"/>
    <w:rsid w:val="000972B6"/>
    <w:rsid w:val="000A1162"/>
    <w:rsid w:val="000A5D0B"/>
    <w:rsid w:val="000B059F"/>
    <w:rsid w:val="000B0BD9"/>
    <w:rsid w:val="000B5599"/>
    <w:rsid w:val="000B63D5"/>
    <w:rsid w:val="000B6673"/>
    <w:rsid w:val="000C1EF8"/>
    <w:rsid w:val="000C350E"/>
    <w:rsid w:val="000C5043"/>
    <w:rsid w:val="000D04A6"/>
    <w:rsid w:val="000D3000"/>
    <w:rsid w:val="000D52AC"/>
    <w:rsid w:val="000E64DF"/>
    <w:rsid w:val="000E7288"/>
    <w:rsid w:val="000F02F1"/>
    <w:rsid w:val="000F06B1"/>
    <w:rsid w:val="000F3E1A"/>
    <w:rsid w:val="000F412C"/>
    <w:rsid w:val="000F6787"/>
    <w:rsid w:val="000F7CE3"/>
    <w:rsid w:val="0010026D"/>
    <w:rsid w:val="001004A7"/>
    <w:rsid w:val="00102C78"/>
    <w:rsid w:val="00102FC6"/>
    <w:rsid w:val="00112622"/>
    <w:rsid w:val="00113A56"/>
    <w:rsid w:val="001149E6"/>
    <w:rsid w:val="00115F29"/>
    <w:rsid w:val="00116338"/>
    <w:rsid w:val="00127207"/>
    <w:rsid w:val="001307A2"/>
    <w:rsid w:val="00131B03"/>
    <w:rsid w:val="00132380"/>
    <w:rsid w:val="00133316"/>
    <w:rsid w:val="00141475"/>
    <w:rsid w:val="00144D42"/>
    <w:rsid w:val="0014613F"/>
    <w:rsid w:val="00147171"/>
    <w:rsid w:val="00151089"/>
    <w:rsid w:val="001510C9"/>
    <w:rsid w:val="00151814"/>
    <w:rsid w:val="00151872"/>
    <w:rsid w:val="00154320"/>
    <w:rsid w:val="001568FE"/>
    <w:rsid w:val="00156F0D"/>
    <w:rsid w:val="0016088C"/>
    <w:rsid w:val="00160F86"/>
    <w:rsid w:val="00166C5B"/>
    <w:rsid w:val="00172B4D"/>
    <w:rsid w:val="00173D8C"/>
    <w:rsid w:val="00177694"/>
    <w:rsid w:val="0018218E"/>
    <w:rsid w:val="00184BDC"/>
    <w:rsid w:val="001914EA"/>
    <w:rsid w:val="001A1D59"/>
    <w:rsid w:val="001A255F"/>
    <w:rsid w:val="001A798F"/>
    <w:rsid w:val="001B2742"/>
    <w:rsid w:val="001B2E84"/>
    <w:rsid w:val="001B61E8"/>
    <w:rsid w:val="001C0B52"/>
    <w:rsid w:val="001C6510"/>
    <w:rsid w:val="001D226E"/>
    <w:rsid w:val="001D57B5"/>
    <w:rsid w:val="001E07AB"/>
    <w:rsid w:val="001F0D29"/>
    <w:rsid w:val="001F2EDF"/>
    <w:rsid w:val="001F56DD"/>
    <w:rsid w:val="001F5B88"/>
    <w:rsid w:val="00200723"/>
    <w:rsid w:val="002013E5"/>
    <w:rsid w:val="0020721B"/>
    <w:rsid w:val="00210D31"/>
    <w:rsid w:val="00212E3E"/>
    <w:rsid w:val="00214550"/>
    <w:rsid w:val="0021515D"/>
    <w:rsid w:val="002234C6"/>
    <w:rsid w:val="00223D88"/>
    <w:rsid w:val="002244EC"/>
    <w:rsid w:val="0023416D"/>
    <w:rsid w:val="0023645C"/>
    <w:rsid w:val="00242E83"/>
    <w:rsid w:val="00250B33"/>
    <w:rsid w:val="00250FDF"/>
    <w:rsid w:val="00253E5B"/>
    <w:rsid w:val="0025799E"/>
    <w:rsid w:val="002628CD"/>
    <w:rsid w:val="002644AD"/>
    <w:rsid w:val="00265875"/>
    <w:rsid w:val="002667D0"/>
    <w:rsid w:val="00271995"/>
    <w:rsid w:val="00275887"/>
    <w:rsid w:val="00275FAF"/>
    <w:rsid w:val="00280C35"/>
    <w:rsid w:val="00284C98"/>
    <w:rsid w:val="00287C8F"/>
    <w:rsid w:val="00292177"/>
    <w:rsid w:val="002A1810"/>
    <w:rsid w:val="002B4B46"/>
    <w:rsid w:val="002B5D0A"/>
    <w:rsid w:val="002B7BC7"/>
    <w:rsid w:val="002C0CC1"/>
    <w:rsid w:val="002C1066"/>
    <w:rsid w:val="002C3822"/>
    <w:rsid w:val="002C6C50"/>
    <w:rsid w:val="002D2180"/>
    <w:rsid w:val="002D471D"/>
    <w:rsid w:val="002D4AF8"/>
    <w:rsid w:val="002D5701"/>
    <w:rsid w:val="002D5DE3"/>
    <w:rsid w:val="002D63CC"/>
    <w:rsid w:val="002E074C"/>
    <w:rsid w:val="002E1873"/>
    <w:rsid w:val="002E364C"/>
    <w:rsid w:val="002E7015"/>
    <w:rsid w:val="002F33E7"/>
    <w:rsid w:val="002F57AE"/>
    <w:rsid w:val="00303B10"/>
    <w:rsid w:val="00304E7C"/>
    <w:rsid w:val="003166D7"/>
    <w:rsid w:val="00316BE4"/>
    <w:rsid w:val="00324702"/>
    <w:rsid w:val="00324E29"/>
    <w:rsid w:val="0033736D"/>
    <w:rsid w:val="003376DB"/>
    <w:rsid w:val="00340D77"/>
    <w:rsid w:val="0034149A"/>
    <w:rsid w:val="00343AD9"/>
    <w:rsid w:val="00345694"/>
    <w:rsid w:val="003476C2"/>
    <w:rsid w:val="00354527"/>
    <w:rsid w:val="00354D5A"/>
    <w:rsid w:val="003619E1"/>
    <w:rsid w:val="00362148"/>
    <w:rsid w:val="00364911"/>
    <w:rsid w:val="00364F39"/>
    <w:rsid w:val="00382511"/>
    <w:rsid w:val="00382BEB"/>
    <w:rsid w:val="0039084F"/>
    <w:rsid w:val="00390F15"/>
    <w:rsid w:val="003938E7"/>
    <w:rsid w:val="00396861"/>
    <w:rsid w:val="00397D4D"/>
    <w:rsid w:val="003A4C5D"/>
    <w:rsid w:val="003B0B90"/>
    <w:rsid w:val="003B6BE5"/>
    <w:rsid w:val="003B769A"/>
    <w:rsid w:val="003B7D11"/>
    <w:rsid w:val="003C0931"/>
    <w:rsid w:val="003C6270"/>
    <w:rsid w:val="003C6B07"/>
    <w:rsid w:val="003C6D61"/>
    <w:rsid w:val="003D0D81"/>
    <w:rsid w:val="003D24C8"/>
    <w:rsid w:val="003D7DCE"/>
    <w:rsid w:val="003E444D"/>
    <w:rsid w:val="003F1C4B"/>
    <w:rsid w:val="003F5EF9"/>
    <w:rsid w:val="003F6AF5"/>
    <w:rsid w:val="003F74E5"/>
    <w:rsid w:val="004011D6"/>
    <w:rsid w:val="00405D50"/>
    <w:rsid w:val="00407111"/>
    <w:rsid w:val="004123DD"/>
    <w:rsid w:val="00412DE7"/>
    <w:rsid w:val="00417293"/>
    <w:rsid w:val="00427756"/>
    <w:rsid w:val="00440037"/>
    <w:rsid w:val="004419AF"/>
    <w:rsid w:val="004473F4"/>
    <w:rsid w:val="00453C07"/>
    <w:rsid w:val="0045457C"/>
    <w:rsid w:val="0046295C"/>
    <w:rsid w:val="004640F8"/>
    <w:rsid w:val="00467824"/>
    <w:rsid w:val="004854C8"/>
    <w:rsid w:val="00491BE0"/>
    <w:rsid w:val="004921DD"/>
    <w:rsid w:val="004A318A"/>
    <w:rsid w:val="004A4562"/>
    <w:rsid w:val="004A4C50"/>
    <w:rsid w:val="004B4318"/>
    <w:rsid w:val="004C02F9"/>
    <w:rsid w:val="004C65D9"/>
    <w:rsid w:val="004D1FD4"/>
    <w:rsid w:val="004D2F13"/>
    <w:rsid w:val="004E18AB"/>
    <w:rsid w:val="004E5E30"/>
    <w:rsid w:val="004F4EF8"/>
    <w:rsid w:val="00501EE5"/>
    <w:rsid w:val="00510444"/>
    <w:rsid w:val="00516D8F"/>
    <w:rsid w:val="00517B0A"/>
    <w:rsid w:val="0052156D"/>
    <w:rsid w:val="005220A2"/>
    <w:rsid w:val="005254F0"/>
    <w:rsid w:val="0052606F"/>
    <w:rsid w:val="005271C4"/>
    <w:rsid w:val="0052780F"/>
    <w:rsid w:val="00533199"/>
    <w:rsid w:val="00535ABA"/>
    <w:rsid w:val="005363E8"/>
    <w:rsid w:val="00537842"/>
    <w:rsid w:val="00543B8C"/>
    <w:rsid w:val="0054404A"/>
    <w:rsid w:val="00544082"/>
    <w:rsid w:val="00547E71"/>
    <w:rsid w:val="00551BD0"/>
    <w:rsid w:val="00554EC6"/>
    <w:rsid w:val="005579E3"/>
    <w:rsid w:val="00564B8B"/>
    <w:rsid w:val="00573552"/>
    <w:rsid w:val="00576845"/>
    <w:rsid w:val="00581721"/>
    <w:rsid w:val="00587C29"/>
    <w:rsid w:val="005927D1"/>
    <w:rsid w:val="00593291"/>
    <w:rsid w:val="00594CA0"/>
    <w:rsid w:val="00596B13"/>
    <w:rsid w:val="005B3EC5"/>
    <w:rsid w:val="005B585D"/>
    <w:rsid w:val="005C187E"/>
    <w:rsid w:val="005C37BA"/>
    <w:rsid w:val="005C53CE"/>
    <w:rsid w:val="005C59E5"/>
    <w:rsid w:val="005C7C4F"/>
    <w:rsid w:val="005D380C"/>
    <w:rsid w:val="005D7DD3"/>
    <w:rsid w:val="005E15D9"/>
    <w:rsid w:val="005E2089"/>
    <w:rsid w:val="005E7579"/>
    <w:rsid w:val="005F3758"/>
    <w:rsid w:val="0060650B"/>
    <w:rsid w:val="00607FD2"/>
    <w:rsid w:val="00613ECA"/>
    <w:rsid w:val="00615C0D"/>
    <w:rsid w:val="006171F3"/>
    <w:rsid w:val="00617EFB"/>
    <w:rsid w:val="006236C0"/>
    <w:rsid w:val="00631A32"/>
    <w:rsid w:val="00636E1F"/>
    <w:rsid w:val="00640ACC"/>
    <w:rsid w:val="006427FB"/>
    <w:rsid w:val="00642A44"/>
    <w:rsid w:val="0064511C"/>
    <w:rsid w:val="006508EF"/>
    <w:rsid w:val="0065464D"/>
    <w:rsid w:val="006558DB"/>
    <w:rsid w:val="00677F67"/>
    <w:rsid w:val="00684B2A"/>
    <w:rsid w:val="00685952"/>
    <w:rsid w:val="006A0EFE"/>
    <w:rsid w:val="006A116D"/>
    <w:rsid w:val="006A5B3F"/>
    <w:rsid w:val="006A72A0"/>
    <w:rsid w:val="006B1E74"/>
    <w:rsid w:val="006B79C1"/>
    <w:rsid w:val="006C5745"/>
    <w:rsid w:val="006C5AD2"/>
    <w:rsid w:val="006C7CFC"/>
    <w:rsid w:val="006C7D4C"/>
    <w:rsid w:val="006D194A"/>
    <w:rsid w:val="006D5569"/>
    <w:rsid w:val="006E1A69"/>
    <w:rsid w:val="006E3C7A"/>
    <w:rsid w:val="006F613D"/>
    <w:rsid w:val="00700AC2"/>
    <w:rsid w:val="0071597D"/>
    <w:rsid w:val="00725E6D"/>
    <w:rsid w:val="007302AF"/>
    <w:rsid w:val="0073266D"/>
    <w:rsid w:val="007326A0"/>
    <w:rsid w:val="00732AFE"/>
    <w:rsid w:val="00733A56"/>
    <w:rsid w:val="00735874"/>
    <w:rsid w:val="00736CF4"/>
    <w:rsid w:val="0074025A"/>
    <w:rsid w:val="0074504F"/>
    <w:rsid w:val="00745ACE"/>
    <w:rsid w:val="00747402"/>
    <w:rsid w:val="007504E8"/>
    <w:rsid w:val="007514A4"/>
    <w:rsid w:val="00752CED"/>
    <w:rsid w:val="00753753"/>
    <w:rsid w:val="00754010"/>
    <w:rsid w:val="00755329"/>
    <w:rsid w:val="0075639C"/>
    <w:rsid w:val="007601F1"/>
    <w:rsid w:val="007721E8"/>
    <w:rsid w:val="00773D79"/>
    <w:rsid w:val="007753ED"/>
    <w:rsid w:val="00777C54"/>
    <w:rsid w:val="0078081B"/>
    <w:rsid w:val="00781DF2"/>
    <w:rsid w:val="00790922"/>
    <w:rsid w:val="00791D3C"/>
    <w:rsid w:val="00796452"/>
    <w:rsid w:val="007A3F1C"/>
    <w:rsid w:val="007A59C4"/>
    <w:rsid w:val="007B62BB"/>
    <w:rsid w:val="007C3490"/>
    <w:rsid w:val="007D398B"/>
    <w:rsid w:val="007E1C36"/>
    <w:rsid w:val="007E28A5"/>
    <w:rsid w:val="007E5A00"/>
    <w:rsid w:val="007E6069"/>
    <w:rsid w:val="007E78ED"/>
    <w:rsid w:val="007E7A90"/>
    <w:rsid w:val="007F3B19"/>
    <w:rsid w:val="008005BB"/>
    <w:rsid w:val="008007A3"/>
    <w:rsid w:val="00801EF6"/>
    <w:rsid w:val="0080231E"/>
    <w:rsid w:val="0080377C"/>
    <w:rsid w:val="00810443"/>
    <w:rsid w:val="00811A98"/>
    <w:rsid w:val="00812756"/>
    <w:rsid w:val="00814E39"/>
    <w:rsid w:val="008179BC"/>
    <w:rsid w:val="0082603C"/>
    <w:rsid w:val="0082772E"/>
    <w:rsid w:val="00827982"/>
    <w:rsid w:val="00827BCF"/>
    <w:rsid w:val="0083461B"/>
    <w:rsid w:val="00835BCC"/>
    <w:rsid w:val="0083665D"/>
    <w:rsid w:val="00842C7B"/>
    <w:rsid w:val="0084519D"/>
    <w:rsid w:val="00846F78"/>
    <w:rsid w:val="00852372"/>
    <w:rsid w:val="00862349"/>
    <w:rsid w:val="00867484"/>
    <w:rsid w:val="00870021"/>
    <w:rsid w:val="00875BA5"/>
    <w:rsid w:val="0087638E"/>
    <w:rsid w:val="008848A0"/>
    <w:rsid w:val="00892229"/>
    <w:rsid w:val="00892545"/>
    <w:rsid w:val="008A04C7"/>
    <w:rsid w:val="008A0AD1"/>
    <w:rsid w:val="008A31AE"/>
    <w:rsid w:val="008A38C9"/>
    <w:rsid w:val="008B572F"/>
    <w:rsid w:val="008C48BB"/>
    <w:rsid w:val="008C5B01"/>
    <w:rsid w:val="008C6069"/>
    <w:rsid w:val="008D20BD"/>
    <w:rsid w:val="008D4256"/>
    <w:rsid w:val="008D46BD"/>
    <w:rsid w:val="008D4F6A"/>
    <w:rsid w:val="008D6BBC"/>
    <w:rsid w:val="008D70F9"/>
    <w:rsid w:val="008E2BFC"/>
    <w:rsid w:val="008F1264"/>
    <w:rsid w:val="008F2268"/>
    <w:rsid w:val="008F47F5"/>
    <w:rsid w:val="008F4B1D"/>
    <w:rsid w:val="008F6490"/>
    <w:rsid w:val="00900C4E"/>
    <w:rsid w:val="00903E3D"/>
    <w:rsid w:val="00905E05"/>
    <w:rsid w:val="0090684E"/>
    <w:rsid w:val="009079DE"/>
    <w:rsid w:val="0091556A"/>
    <w:rsid w:val="00920AA8"/>
    <w:rsid w:val="00922675"/>
    <w:rsid w:val="009227ED"/>
    <w:rsid w:val="0092494B"/>
    <w:rsid w:val="0092762E"/>
    <w:rsid w:val="009331D8"/>
    <w:rsid w:val="009354FD"/>
    <w:rsid w:val="00936019"/>
    <w:rsid w:val="0094390C"/>
    <w:rsid w:val="00944474"/>
    <w:rsid w:val="0094730C"/>
    <w:rsid w:val="00951CCB"/>
    <w:rsid w:val="009529B7"/>
    <w:rsid w:val="00953118"/>
    <w:rsid w:val="00954C7D"/>
    <w:rsid w:val="00961887"/>
    <w:rsid w:val="00965F79"/>
    <w:rsid w:val="0097015D"/>
    <w:rsid w:val="00975213"/>
    <w:rsid w:val="009764BC"/>
    <w:rsid w:val="00980014"/>
    <w:rsid w:val="00980D8D"/>
    <w:rsid w:val="00981140"/>
    <w:rsid w:val="00982A2F"/>
    <w:rsid w:val="00986C10"/>
    <w:rsid w:val="00991C48"/>
    <w:rsid w:val="00992711"/>
    <w:rsid w:val="009A0510"/>
    <w:rsid w:val="009A0D46"/>
    <w:rsid w:val="009A11E1"/>
    <w:rsid w:val="009A1DFE"/>
    <w:rsid w:val="009A2E3C"/>
    <w:rsid w:val="009A2FAC"/>
    <w:rsid w:val="009B0967"/>
    <w:rsid w:val="009B16A9"/>
    <w:rsid w:val="009B43DF"/>
    <w:rsid w:val="009B6E0B"/>
    <w:rsid w:val="009B6FFA"/>
    <w:rsid w:val="009B7820"/>
    <w:rsid w:val="009C03C8"/>
    <w:rsid w:val="009C463D"/>
    <w:rsid w:val="009C7C10"/>
    <w:rsid w:val="009D0F55"/>
    <w:rsid w:val="009D27C5"/>
    <w:rsid w:val="009D391B"/>
    <w:rsid w:val="009E1452"/>
    <w:rsid w:val="009E2965"/>
    <w:rsid w:val="009F5882"/>
    <w:rsid w:val="009F6C93"/>
    <w:rsid w:val="00A00024"/>
    <w:rsid w:val="00A00C85"/>
    <w:rsid w:val="00A0750D"/>
    <w:rsid w:val="00A10243"/>
    <w:rsid w:val="00A11DA5"/>
    <w:rsid w:val="00A13528"/>
    <w:rsid w:val="00A227E1"/>
    <w:rsid w:val="00A22DA5"/>
    <w:rsid w:val="00A23824"/>
    <w:rsid w:val="00A26808"/>
    <w:rsid w:val="00A27557"/>
    <w:rsid w:val="00A27BA9"/>
    <w:rsid w:val="00A35E3E"/>
    <w:rsid w:val="00A4159A"/>
    <w:rsid w:val="00A4193A"/>
    <w:rsid w:val="00A423C1"/>
    <w:rsid w:val="00A43C6D"/>
    <w:rsid w:val="00A43C75"/>
    <w:rsid w:val="00A443F4"/>
    <w:rsid w:val="00A47648"/>
    <w:rsid w:val="00A47759"/>
    <w:rsid w:val="00A51058"/>
    <w:rsid w:val="00A53549"/>
    <w:rsid w:val="00A57026"/>
    <w:rsid w:val="00A573E4"/>
    <w:rsid w:val="00A70D19"/>
    <w:rsid w:val="00A71424"/>
    <w:rsid w:val="00A72F18"/>
    <w:rsid w:val="00A83561"/>
    <w:rsid w:val="00A84C02"/>
    <w:rsid w:val="00A93207"/>
    <w:rsid w:val="00A93E7B"/>
    <w:rsid w:val="00AA19E2"/>
    <w:rsid w:val="00AA44B4"/>
    <w:rsid w:val="00AA4C85"/>
    <w:rsid w:val="00AB0395"/>
    <w:rsid w:val="00AB1054"/>
    <w:rsid w:val="00AB38D0"/>
    <w:rsid w:val="00AC2A52"/>
    <w:rsid w:val="00AC5080"/>
    <w:rsid w:val="00AC5AFE"/>
    <w:rsid w:val="00AC5DFE"/>
    <w:rsid w:val="00AC682B"/>
    <w:rsid w:val="00AF07B5"/>
    <w:rsid w:val="00AF21B9"/>
    <w:rsid w:val="00AF53F5"/>
    <w:rsid w:val="00B03A82"/>
    <w:rsid w:val="00B052F7"/>
    <w:rsid w:val="00B05921"/>
    <w:rsid w:val="00B06A1D"/>
    <w:rsid w:val="00B10AF8"/>
    <w:rsid w:val="00B1392B"/>
    <w:rsid w:val="00B14C5C"/>
    <w:rsid w:val="00B171CC"/>
    <w:rsid w:val="00B23DDF"/>
    <w:rsid w:val="00B26FDD"/>
    <w:rsid w:val="00B3054C"/>
    <w:rsid w:val="00B4150F"/>
    <w:rsid w:val="00B45077"/>
    <w:rsid w:val="00B52918"/>
    <w:rsid w:val="00B5305C"/>
    <w:rsid w:val="00B56EA1"/>
    <w:rsid w:val="00B640F1"/>
    <w:rsid w:val="00B656E7"/>
    <w:rsid w:val="00B658AC"/>
    <w:rsid w:val="00B65ABD"/>
    <w:rsid w:val="00B65E06"/>
    <w:rsid w:val="00B73ABD"/>
    <w:rsid w:val="00B80288"/>
    <w:rsid w:val="00B82725"/>
    <w:rsid w:val="00B84100"/>
    <w:rsid w:val="00B849B0"/>
    <w:rsid w:val="00B93E53"/>
    <w:rsid w:val="00BA386C"/>
    <w:rsid w:val="00BA6748"/>
    <w:rsid w:val="00BB59CA"/>
    <w:rsid w:val="00BC2707"/>
    <w:rsid w:val="00BC2B67"/>
    <w:rsid w:val="00BD4B26"/>
    <w:rsid w:val="00BD7A8F"/>
    <w:rsid w:val="00BE029F"/>
    <w:rsid w:val="00BE1D02"/>
    <w:rsid w:val="00BE7559"/>
    <w:rsid w:val="00BF3819"/>
    <w:rsid w:val="00BF39A5"/>
    <w:rsid w:val="00BF5B5D"/>
    <w:rsid w:val="00BF60AE"/>
    <w:rsid w:val="00BF70FE"/>
    <w:rsid w:val="00C027F7"/>
    <w:rsid w:val="00C02C58"/>
    <w:rsid w:val="00C10709"/>
    <w:rsid w:val="00C117E0"/>
    <w:rsid w:val="00C121AD"/>
    <w:rsid w:val="00C14159"/>
    <w:rsid w:val="00C1599E"/>
    <w:rsid w:val="00C170A3"/>
    <w:rsid w:val="00C27510"/>
    <w:rsid w:val="00C33370"/>
    <w:rsid w:val="00C33822"/>
    <w:rsid w:val="00C33832"/>
    <w:rsid w:val="00C404FE"/>
    <w:rsid w:val="00C41146"/>
    <w:rsid w:val="00C471B2"/>
    <w:rsid w:val="00C52D81"/>
    <w:rsid w:val="00C53FA0"/>
    <w:rsid w:val="00C63C14"/>
    <w:rsid w:val="00C7021A"/>
    <w:rsid w:val="00C705B8"/>
    <w:rsid w:val="00C76C58"/>
    <w:rsid w:val="00C80C7D"/>
    <w:rsid w:val="00C8486D"/>
    <w:rsid w:val="00C862FC"/>
    <w:rsid w:val="00C922EF"/>
    <w:rsid w:val="00C92951"/>
    <w:rsid w:val="00C94A65"/>
    <w:rsid w:val="00C96C41"/>
    <w:rsid w:val="00CA0CC0"/>
    <w:rsid w:val="00CA5635"/>
    <w:rsid w:val="00CA5E9F"/>
    <w:rsid w:val="00CA6653"/>
    <w:rsid w:val="00CA7F7C"/>
    <w:rsid w:val="00CB049E"/>
    <w:rsid w:val="00CB185B"/>
    <w:rsid w:val="00CB3A62"/>
    <w:rsid w:val="00CB637C"/>
    <w:rsid w:val="00CB63AB"/>
    <w:rsid w:val="00CC11D9"/>
    <w:rsid w:val="00CC3884"/>
    <w:rsid w:val="00CC554A"/>
    <w:rsid w:val="00CC5812"/>
    <w:rsid w:val="00CC6C1A"/>
    <w:rsid w:val="00CD385A"/>
    <w:rsid w:val="00CE152F"/>
    <w:rsid w:val="00CE1A81"/>
    <w:rsid w:val="00CE3744"/>
    <w:rsid w:val="00CE6466"/>
    <w:rsid w:val="00CF1AE7"/>
    <w:rsid w:val="00CF21E0"/>
    <w:rsid w:val="00CF46AA"/>
    <w:rsid w:val="00D00903"/>
    <w:rsid w:val="00D06AC1"/>
    <w:rsid w:val="00D06AD2"/>
    <w:rsid w:val="00D10124"/>
    <w:rsid w:val="00D10F36"/>
    <w:rsid w:val="00D145D8"/>
    <w:rsid w:val="00D16AA2"/>
    <w:rsid w:val="00D20F75"/>
    <w:rsid w:val="00D2175D"/>
    <w:rsid w:val="00D2206B"/>
    <w:rsid w:val="00D30349"/>
    <w:rsid w:val="00D328C8"/>
    <w:rsid w:val="00D33674"/>
    <w:rsid w:val="00D33DA4"/>
    <w:rsid w:val="00D40151"/>
    <w:rsid w:val="00D40153"/>
    <w:rsid w:val="00D449FC"/>
    <w:rsid w:val="00D45AF5"/>
    <w:rsid w:val="00D46D4F"/>
    <w:rsid w:val="00D50C91"/>
    <w:rsid w:val="00D52AFE"/>
    <w:rsid w:val="00D55375"/>
    <w:rsid w:val="00D62F34"/>
    <w:rsid w:val="00D63A07"/>
    <w:rsid w:val="00D63E48"/>
    <w:rsid w:val="00D65747"/>
    <w:rsid w:val="00D66C50"/>
    <w:rsid w:val="00D66C98"/>
    <w:rsid w:val="00D777B6"/>
    <w:rsid w:val="00D81124"/>
    <w:rsid w:val="00D93198"/>
    <w:rsid w:val="00DA009D"/>
    <w:rsid w:val="00DA0837"/>
    <w:rsid w:val="00DA0FDE"/>
    <w:rsid w:val="00DA190C"/>
    <w:rsid w:val="00DB26B7"/>
    <w:rsid w:val="00DB28EA"/>
    <w:rsid w:val="00DB44B5"/>
    <w:rsid w:val="00DB68E5"/>
    <w:rsid w:val="00DB6C08"/>
    <w:rsid w:val="00DC50CE"/>
    <w:rsid w:val="00DC7379"/>
    <w:rsid w:val="00DD3A1D"/>
    <w:rsid w:val="00DD7A2A"/>
    <w:rsid w:val="00DE2821"/>
    <w:rsid w:val="00DE35F6"/>
    <w:rsid w:val="00DE444F"/>
    <w:rsid w:val="00DE4EE0"/>
    <w:rsid w:val="00DF1795"/>
    <w:rsid w:val="00DF1B6B"/>
    <w:rsid w:val="00DF32FA"/>
    <w:rsid w:val="00DF4DE4"/>
    <w:rsid w:val="00DF6D42"/>
    <w:rsid w:val="00DF73F7"/>
    <w:rsid w:val="00E059D2"/>
    <w:rsid w:val="00E06B18"/>
    <w:rsid w:val="00E20F77"/>
    <w:rsid w:val="00E25647"/>
    <w:rsid w:val="00E30C5E"/>
    <w:rsid w:val="00E3193C"/>
    <w:rsid w:val="00E34F40"/>
    <w:rsid w:val="00E3739B"/>
    <w:rsid w:val="00E41E9E"/>
    <w:rsid w:val="00E506AE"/>
    <w:rsid w:val="00E50AAA"/>
    <w:rsid w:val="00E57B5E"/>
    <w:rsid w:val="00E57EC5"/>
    <w:rsid w:val="00E612ED"/>
    <w:rsid w:val="00E7132E"/>
    <w:rsid w:val="00E71E17"/>
    <w:rsid w:val="00E7243E"/>
    <w:rsid w:val="00E73483"/>
    <w:rsid w:val="00E74141"/>
    <w:rsid w:val="00E832DB"/>
    <w:rsid w:val="00E842D6"/>
    <w:rsid w:val="00E8470F"/>
    <w:rsid w:val="00E84FCC"/>
    <w:rsid w:val="00E86E76"/>
    <w:rsid w:val="00E903B4"/>
    <w:rsid w:val="00E90E89"/>
    <w:rsid w:val="00E927C3"/>
    <w:rsid w:val="00E96E71"/>
    <w:rsid w:val="00EA0435"/>
    <w:rsid w:val="00EA24E3"/>
    <w:rsid w:val="00EA2878"/>
    <w:rsid w:val="00EA64F3"/>
    <w:rsid w:val="00EB2B6C"/>
    <w:rsid w:val="00EB3F40"/>
    <w:rsid w:val="00EB5E34"/>
    <w:rsid w:val="00EC2972"/>
    <w:rsid w:val="00EC2F39"/>
    <w:rsid w:val="00EC6504"/>
    <w:rsid w:val="00ED60A5"/>
    <w:rsid w:val="00ED6970"/>
    <w:rsid w:val="00EE17F6"/>
    <w:rsid w:val="00EE610F"/>
    <w:rsid w:val="00EF1283"/>
    <w:rsid w:val="00EF5FA0"/>
    <w:rsid w:val="00EF7554"/>
    <w:rsid w:val="00EF7D4B"/>
    <w:rsid w:val="00F04063"/>
    <w:rsid w:val="00F074ED"/>
    <w:rsid w:val="00F138D1"/>
    <w:rsid w:val="00F30945"/>
    <w:rsid w:val="00F35E21"/>
    <w:rsid w:val="00F36B8F"/>
    <w:rsid w:val="00F37122"/>
    <w:rsid w:val="00F40910"/>
    <w:rsid w:val="00F479DF"/>
    <w:rsid w:val="00F50488"/>
    <w:rsid w:val="00F5255A"/>
    <w:rsid w:val="00F52CC4"/>
    <w:rsid w:val="00F56B35"/>
    <w:rsid w:val="00F57B11"/>
    <w:rsid w:val="00F60D1F"/>
    <w:rsid w:val="00F61BC5"/>
    <w:rsid w:val="00F62086"/>
    <w:rsid w:val="00F67774"/>
    <w:rsid w:val="00F67B1F"/>
    <w:rsid w:val="00F71349"/>
    <w:rsid w:val="00F71A75"/>
    <w:rsid w:val="00F73B39"/>
    <w:rsid w:val="00F74046"/>
    <w:rsid w:val="00F82DF7"/>
    <w:rsid w:val="00F835D6"/>
    <w:rsid w:val="00F843E5"/>
    <w:rsid w:val="00F84408"/>
    <w:rsid w:val="00F85C2A"/>
    <w:rsid w:val="00F86434"/>
    <w:rsid w:val="00F86D0A"/>
    <w:rsid w:val="00F924A3"/>
    <w:rsid w:val="00FA15CC"/>
    <w:rsid w:val="00FA1A67"/>
    <w:rsid w:val="00FA3370"/>
    <w:rsid w:val="00FA5552"/>
    <w:rsid w:val="00FB1C70"/>
    <w:rsid w:val="00FB234F"/>
    <w:rsid w:val="00FB3A3B"/>
    <w:rsid w:val="00FB3B99"/>
    <w:rsid w:val="00FB4BAC"/>
    <w:rsid w:val="00FC1A61"/>
    <w:rsid w:val="00FC4B16"/>
    <w:rsid w:val="00FD36AC"/>
    <w:rsid w:val="00FD536E"/>
    <w:rsid w:val="00FE4C7B"/>
    <w:rsid w:val="00FE5A84"/>
    <w:rsid w:val="00FF31CE"/>
    <w:rsid w:val="00FF39F9"/>
    <w:rsid w:val="00FF4038"/>
    <w:rsid w:val="00FF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BAC1C"/>
  <w15:chartTrackingRefBased/>
  <w15:docId w15:val="{12F047BE-3829-409F-9E9D-6A288907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748"/>
    <w:pPr>
      <w:spacing w:line="259" w:lineRule="auto"/>
    </w:pPr>
    <w:rPr>
      <w:sz w:val="22"/>
      <w:szCs w:val="22"/>
    </w:rPr>
  </w:style>
  <w:style w:type="paragraph" w:styleId="Heading1">
    <w:name w:val="heading 1"/>
    <w:basedOn w:val="Normal"/>
    <w:next w:val="Normal"/>
    <w:link w:val="Heading1Char"/>
    <w:uiPriority w:val="9"/>
    <w:qFormat/>
    <w:rsid w:val="00BA6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748"/>
    <w:rPr>
      <w:rFonts w:eastAsiaTheme="majorEastAsia" w:cstheme="majorBidi"/>
      <w:color w:val="272727" w:themeColor="text1" w:themeTint="D8"/>
    </w:rPr>
  </w:style>
  <w:style w:type="paragraph" w:styleId="Title">
    <w:name w:val="Title"/>
    <w:basedOn w:val="Normal"/>
    <w:next w:val="Normal"/>
    <w:link w:val="TitleChar"/>
    <w:uiPriority w:val="10"/>
    <w:qFormat/>
    <w:rsid w:val="00BA6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748"/>
    <w:pPr>
      <w:spacing w:before="160"/>
      <w:jc w:val="center"/>
    </w:pPr>
    <w:rPr>
      <w:i/>
      <w:iCs/>
      <w:color w:val="404040" w:themeColor="text1" w:themeTint="BF"/>
    </w:rPr>
  </w:style>
  <w:style w:type="character" w:customStyle="1" w:styleId="QuoteChar">
    <w:name w:val="Quote Char"/>
    <w:basedOn w:val="DefaultParagraphFont"/>
    <w:link w:val="Quote"/>
    <w:uiPriority w:val="29"/>
    <w:rsid w:val="00BA6748"/>
    <w:rPr>
      <w:i/>
      <w:iCs/>
      <w:color w:val="404040" w:themeColor="text1" w:themeTint="BF"/>
    </w:rPr>
  </w:style>
  <w:style w:type="paragraph" w:styleId="ListParagraph">
    <w:name w:val="List Paragraph"/>
    <w:basedOn w:val="Normal"/>
    <w:uiPriority w:val="34"/>
    <w:qFormat/>
    <w:rsid w:val="00BA6748"/>
    <w:pPr>
      <w:ind w:left="720"/>
      <w:contextualSpacing/>
    </w:pPr>
  </w:style>
  <w:style w:type="character" w:styleId="IntenseEmphasis">
    <w:name w:val="Intense Emphasis"/>
    <w:basedOn w:val="DefaultParagraphFont"/>
    <w:uiPriority w:val="21"/>
    <w:qFormat/>
    <w:rsid w:val="00BA6748"/>
    <w:rPr>
      <w:i/>
      <w:iCs/>
      <w:color w:val="0F4761" w:themeColor="accent1" w:themeShade="BF"/>
    </w:rPr>
  </w:style>
  <w:style w:type="paragraph" w:styleId="IntenseQuote">
    <w:name w:val="Intense Quote"/>
    <w:basedOn w:val="Normal"/>
    <w:next w:val="Normal"/>
    <w:link w:val="IntenseQuoteChar"/>
    <w:uiPriority w:val="30"/>
    <w:qFormat/>
    <w:rsid w:val="00BA6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748"/>
    <w:rPr>
      <w:i/>
      <w:iCs/>
      <w:color w:val="0F4761" w:themeColor="accent1" w:themeShade="BF"/>
    </w:rPr>
  </w:style>
  <w:style w:type="character" w:styleId="IntenseReference">
    <w:name w:val="Intense Reference"/>
    <w:basedOn w:val="DefaultParagraphFont"/>
    <w:uiPriority w:val="32"/>
    <w:qFormat/>
    <w:rsid w:val="00BA6748"/>
    <w:rPr>
      <w:b/>
      <w:bCs/>
      <w:smallCaps/>
      <w:color w:val="0F4761" w:themeColor="accent1" w:themeShade="BF"/>
      <w:spacing w:val="5"/>
    </w:rPr>
  </w:style>
  <w:style w:type="table" w:styleId="TableGrid">
    <w:name w:val="Table Grid"/>
    <w:basedOn w:val="TableNormal"/>
    <w:uiPriority w:val="39"/>
    <w:rsid w:val="00BA674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6748"/>
    <w:rPr>
      <w:color w:val="0000FF"/>
      <w:u w:val="single"/>
    </w:rPr>
  </w:style>
  <w:style w:type="paragraph" w:customStyle="1" w:styleId="paragraph">
    <w:name w:val="paragraph"/>
    <w:basedOn w:val="Normal"/>
    <w:rsid w:val="00BA67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A6748"/>
  </w:style>
  <w:style w:type="character" w:styleId="FollowedHyperlink">
    <w:name w:val="FollowedHyperlink"/>
    <w:basedOn w:val="DefaultParagraphFont"/>
    <w:uiPriority w:val="99"/>
    <w:semiHidden/>
    <w:unhideWhenUsed/>
    <w:rsid w:val="00BA6748"/>
    <w:rPr>
      <w:color w:val="96607D" w:themeColor="followedHyperlink"/>
      <w:u w:val="single"/>
    </w:rPr>
  </w:style>
  <w:style w:type="paragraph" w:styleId="Header">
    <w:name w:val="header"/>
    <w:basedOn w:val="Normal"/>
    <w:link w:val="HeaderChar"/>
    <w:uiPriority w:val="99"/>
    <w:unhideWhenUsed/>
    <w:rsid w:val="00BA6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748"/>
    <w:rPr>
      <w:sz w:val="22"/>
      <w:szCs w:val="22"/>
    </w:rPr>
  </w:style>
  <w:style w:type="paragraph" w:styleId="Footer">
    <w:name w:val="footer"/>
    <w:basedOn w:val="Normal"/>
    <w:link w:val="FooterChar"/>
    <w:uiPriority w:val="99"/>
    <w:unhideWhenUsed/>
    <w:rsid w:val="00BA6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748"/>
    <w:rPr>
      <w:sz w:val="22"/>
      <w:szCs w:val="22"/>
    </w:rPr>
  </w:style>
  <w:style w:type="character" w:styleId="UnresolvedMention">
    <w:name w:val="Unresolved Mention"/>
    <w:basedOn w:val="DefaultParagraphFont"/>
    <w:uiPriority w:val="99"/>
    <w:semiHidden/>
    <w:unhideWhenUsed/>
    <w:rsid w:val="00390F15"/>
    <w:rPr>
      <w:color w:val="605E5C"/>
      <w:shd w:val="clear" w:color="auto" w:fill="E1DFDD"/>
    </w:rPr>
  </w:style>
  <w:style w:type="character" w:customStyle="1" w:styleId="eop">
    <w:name w:val="eop"/>
    <w:basedOn w:val="DefaultParagraphFont"/>
    <w:rsid w:val="001F5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96113">
      <w:bodyDiv w:val="1"/>
      <w:marLeft w:val="0"/>
      <w:marRight w:val="0"/>
      <w:marTop w:val="0"/>
      <w:marBottom w:val="0"/>
      <w:divBdr>
        <w:top w:val="none" w:sz="0" w:space="0" w:color="auto"/>
        <w:left w:val="none" w:sz="0" w:space="0" w:color="auto"/>
        <w:bottom w:val="none" w:sz="0" w:space="0" w:color="auto"/>
        <w:right w:val="none" w:sz="0" w:space="0" w:color="auto"/>
      </w:divBdr>
    </w:div>
    <w:div w:id="178418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i.state.nm.us/pages/bureaus/mcb/resources/mental-health-parit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38810-B4EF-40A7-B800-B3135CF35BE4}">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158</TotalTime>
  <Pages>5</Pages>
  <Words>1205</Words>
  <Characters>6415</Characters>
  <Application>Microsoft Office Word</Application>
  <DocSecurity>0</DocSecurity>
  <Lines>136</Lines>
  <Paragraphs>81</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Jessica, OSI</dc:creator>
  <cp:keywords/>
  <dc:description/>
  <cp:lastModifiedBy>Sanchez, Jessica, OSI</cp:lastModifiedBy>
  <cp:revision>60</cp:revision>
  <cp:lastPrinted>2025-02-26T17:09:00Z</cp:lastPrinted>
  <dcterms:created xsi:type="dcterms:W3CDTF">2026-01-15T20:48:00Z</dcterms:created>
  <dcterms:modified xsi:type="dcterms:W3CDTF">2026-02-26T23:11:00Z</dcterms:modified>
</cp:coreProperties>
</file>