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EC263" w14:textId="77777777" w:rsidR="00661E88" w:rsidRDefault="00661E88" w:rsidP="00F06022">
      <w:pPr>
        <w:pBdr>
          <w:bottom w:val="single" w:sz="12" w:space="1" w:color="auto"/>
        </w:pBdr>
        <w:jc w:val="center"/>
        <w:rPr>
          <w:rFonts w:ascii="Times New Roman" w:hAnsi="Times New Roman" w:cs="Times New Roman"/>
          <w:b/>
          <w:bCs/>
          <w:color w:val="002060"/>
          <w:sz w:val="48"/>
          <w:szCs w:val="48"/>
          <w14:shadow w14:blurRad="63500" w14:dist="0" w14:dir="0" w14:sx="102000" w14:sy="102000" w14:kx="0" w14:ky="0" w14:algn="ctr">
            <w14:srgbClr w14:val="000000">
              <w14:alpha w14:val="60000"/>
            </w14:srgbClr>
          </w14:shadow>
        </w:rPr>
      </w:pPr>
    </w:p>
    <w:p w14:paraId="6823DD15" w14:textId="77777777" w:rsidR="00661E88" w:rsidRDefault="00661E88" w:rsidP="00F06022">
      <w:pPr>
        <w:pBdr>
          <w:bottom w:val="single" w:sz="12" w:space="1" w:color="auto"/>
        </w:pBdr>
        <w:jc w:val="center"/>
        <w:rPr>
          <w:rFonts w:ascii="Times New Roman" w:hAnsi="Times New Roman" w:cs="Times New Roman"/>
          <w:b/>
          <w:bCs/>
          <w:color w:val="002060"/>
          <w:sz w:val="48"/>
          <w:szCs w:val="48"/>
          <w14:shadow w14:blurRad="63500" w14:dist="0" w14:dir="0" w14:sx="102000" w14:sy="102000" w14:kx="0" w14:ky="0" w14:algn="ctr">
            <w14:srgbClr w14:val="000000">
              <w14:alpha w14:val="60000"/>
            </w14:srgbClr>
          </w14:shadow>
        </w:rPr>
      </w:pPr>
    </w:p>
    <w:p w14:paraId="56069E0A" w14:textId="5455517C" w:rsidR="00502105" w:rsidRPr="00F06022" w:rsidRDefault="00F06022" w:rsidP="00F06022">
      <w:pPr>
        <w:pBdr>
          <w:bottom w:val="single" w:sz="12" w:space="1" w:color="auto"/>
        </w:pBdr>
        <w:jc w:val="center"/>
        <w:rPr>
          <w:rFonts w:ascii="Times New Roman" w:hAnsi="Times New Roman" w:cs="Times New Roman"/>
          <w:b/>
          <w:bCs/>
          <w:color w:val="002060"/>
          <w:sz w:val="48"/>
          <w:szCs w:val="48"/>
          <w14:shadow w14:blurRad="63500" w14:dist="0" w14:dir="0" w14:sx="102000" w14:sy="102000" w14:kx="0" w14:ky="0" w14:algn="ctr">
            <w14:srgbClr w14:val="000000">
              <w14:alpha w14:val="60000"/>
            </w14:srgbClr>
          </w14:shadow>
        </w:rPr>
      </w:pPr>
      <w:r w:rsidRPr="00F06022">
        <w:rPr>
          <w:rFonts w:ascii="Times New Roman" w:hAnsi="Times New Roman" w:cs="Times New Roman"/>
          <w:b/>
          <w:bCs/>
          <w:color w:val="002060"/>
          <w:sz w:val="48"/>
          <w:szCs w:val="48"/>
          <w14:shadow w14:blurRad="63500" w14:dist="0" w14:dir="0" w14:sx="102000" w14:sy="102000" w14:kx="0" w14:ky="0" w14:algn="ctr">
            <w14:srgbClr w14:val="000000">
              <w14:alpha w14:val="60000"/>
            </w14:srgbClr>
          </w14:shadow>
        </w:rPr>
        <w:t>2023 Prior Authorization Report</w:t>
      </w:r>
    </w:p>
    <w:p w14:paraId="00D59716" w14:textId="3623128E" w:rsidR="00F06022" w:rsidRPr="003D76FB" w:rsidRDefault="00F06022" w:rsidP="00F06022">
      <w:pPr>
        <w:pBdr>
          <w:bottom w:val="single" w:sz="12" w:space="1" w:color="auto"/>
        </w:pBdr>
        <w:jc w:val="center"/>
        <w:rPr>
          <w:rFonts w:ascii="Times New Roman" w:hAnsi="Times New Roman" w:cs="Times New Roman"/>
          <w:b/>
          <w:bCs/>
          <w:color w:val="002060"/>
          <w:sz w:val="36"/>
          <w:szCs w:val="36"/>
          <w14:shadow w14:blurRad="50800" w14:dist="38100" w14:dir="2700000" w14:sx="100000" w14:sy="100000" w14:kx="0" w14:ky="0" w14:algn="tl">
            <w14:srgbClr w14:val="000000">
              <w14:alpha w14:val="60000"/>
            </w14:srgbClr>
          </w14:shadow>
        </w:rPr>
      </w:pPr>
      <w:r w:rsidRPr="003D76FB">
        <w:rPr>
          <w:rFonts w:ascii="Times New Roman" w:hAnsi="Times New Roman" w:cs="Times New Roman"/>
          <w:b/>
          <w:bCs/>
          <w:color w:val="002060"/>
          <w:sz w:val="36"/>
          <w:szCs w:val="36"/>
          <w14:shadow w14:blurRad="50800" w14:dist="38100" w14:dir="2700000" w14:sx="100000" w14:sy="100000" w14:kx="0" w14:ky="0" w14:algn="tl">
            <w14:srgbClr w14:val="000000">
              <w14:alpha w14:val="60000"/>
            </w14:srgbClr>
          </w14:shadow>
        </w:rPr>
        <w:t xml:space="preserve">For Individual, Small and Large Group </w:t>
      </w:r>
      <w:r w:rsidR="003B6EF5">
        <w:rPr>
          <w:rFonts w:ascii="Times New Roman" w:hAnsi="Times New Roman" w:cs="Times New Roman"/>
          <w:b/>
          <w:bCs/>
          <w:color w:val="002060"/>
          <w:sz w:val="36"/>
          <w:szCs w:val="36"/>
          <w14:shadow w14:blurRad="50800" w14:dist="38100" w14:dir="2700000" w14:sx="100000" w14:sy="100000" w14:kx="0" w14:ky="0" w14:algn="tl">
            <w14:srgbClr w14:val="000000">
              <w14:alpha w14:val="60000"/>
            </w14:srgbClr>
          </w14:shadow>
        </w:rPr>
        <w:t>Managed Care</w:t>
      </w:r>
      <w:r w:rsidRPr="003D76FB">
        <w:rPr>
          <w:rFonts w:ascii="Times New Roman" w:hAnsi="Times New Roman" w:cs="Times New Roman"/>
          <w:b/>
          <w:bCs/>
          <w:color w:val="002060"/>
          <w:sz w:val="36"/>
          <w:szCs w:val="36"/>
          <w14:shadow w14:blurRad="50800" w14:dist="38100" w14:dir="2700000" w14:sx="100000" w14:sy="100000" w14:kx="0" w14:ky="0" w14:algn="tl">
            <w14:srgbClr w14:val="000000">
              <w14:alpha w14:val="60000"/>
            </w14:srgbClr>
          </w14:shadow>
        </w:rPr>
        <w:t xml:space="preserve"> Plans Subject to OSI’s Regulatory Authority</w:t>
      </w:r>
    </w:p>
    <w:p w14:paraId="2F2319EB" w14:textId="502EBD20" w:rsidR="003D76FB" w:rsidRDefault="00190865" w:rsidP="00F06022">
      <w:pPr>
        <w:pBdr>
          <w:bottom w:val="single" w:sz="12" w:space="1" w:color="auto"/>
        </w:pBdr>
        <w:jc w:val="center"/>
        <w:rPr>
          <w:rFonts w:ascii="Times New Roman" w:hAnsi="Times New Roman" w:cs="Times New Roman"/>
          <w:color w:val="002060"/>
          <w:sz w:val="24"/>
          <w:szCs w:val="24"/>
        </w:rPr>
      </w:pPr>
      <w:r>
        <w:rPr>
          <w:rFonts w:ascii="Times New Roman" w:hAnsi="Times New Roman" w:cs="Times New Roman"/>
          <w:color w:val="002060"/>
          <w:sz w:val="24"/>
          <w:szCs w:val="24"/>
        </w:rPr>
        <w:t xml:space="preserve">October </w:t>
      </w:r>
      <w:r w:rsidR="000F12F0">
        <w:rPr>
          <w:rFonts w:ascii="Times New Roman" w:hAnsi="Times New Roman" w:cs="Times New Roman"/>
          <w:color w:val="002060"/>
          <w:sz w:val="24"/>
          <w:szCs w:val="24"/>
        </w:rPr>
        <w:t>30</w:t>
      </w:r>
      <w:r>
        <w:rPr>
          <w:rFonts w:ascii="Times New Roman" w:hAnsi="Times New Roman" w:cs="Times New Roman"/>
          <w:color w:val="002060"/>
          <w:sz w:val="24"/>
          <w:szCs w:val="24"/>
        </w:rPr>
        <w:t>, 2025</w:t>
      </w:r>
    </w:p>
    <w:p w14:paraId="22891420"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49E948BE"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155DC595"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25F2843E"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09C6AE3A"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4B258AB0"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6F40E4D1"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6D6AA8A0"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71D4D492" w14:textId="77777777" w:rsidR="00661E88" w:rsidRDefault="00661E88" w:rsidP="00F06022">
      <w:pPr>
        <w:pBdr>
          <w:bottom w:val="single" w:sz="12" w:space="1" w:color="auto"/>
        </w:pBdr>
        <w:jc w:val="center"/>
        <w:rPr>
          <w:rFonts w:ascii="Times New Roman" w:hAnsi="Times New Roman" w:cs="Times New Roman"/>
          <w:color w:val="002060"/>
          <w:sz w:val="24"/>
          <w:szCs w:val="24"/>
        </w:rPr>
      </w:pPr>
    </w:p>
    <w:p w14:paraId="7C8939EE" w14:textId="5BD87F62" w:rsidR="00661E88" w:rsidRDefault="003D76FB" w:rsidP="00661E88">
      <w:pPr>
        <w:pBdr>
          <w:bottom w:val="single" w:sz="12" w:space="1" w:color="auto"/>
        </w:pBdr>
        <w:jc w:val="center"/>
        <w:rPr>
          <w:rFonts w:ascii="Times New Roman" w:hAnsi="Times New Roman" w:cs="Times New Roman"/>
          <w:color w:val="002060"/>
          <w:sz w:val="24"/>
          <w:szCs w:val="24"/>
        </w:rPr>
      </w:pPr>
      <w:r w:rsidRPr="003D76FB">
        <w:rPr>
          <w:rFonts w:ascii="Times New Roman" w:hAnsi="Times New Roman" w:cs="Times New Roman"/>
          <w:color w:val="002060"/>
          <w:sz w:val="24"/>
          <w:szCs w:val="24"/>
        </w:rPr>
        <w:t>Pursuant to the Prior Authorization Act, N.M.S.A. 1978,</w:t>
      </w:r>
      <w:r w:rsidR="00A027B1">
        <w:rPr>
          <w:rFonts w:ascii="Times New Roman" w:hAnsi="Times New Roman" w:cs="Times New Roman"/>
          <w:color w:val="002060"/>
          <w:sz w:val="24"/>
          <w:szCs w:val="24"/>
        </w:rPr>
        <w:t xml:space="preserve"> Section </w:t>
      </w:r>
      <w:r w:rsidRPr="003D76FB">
        <w:rPr>
          <w:rFonts w:ascii="Times New Roman" w:hAnsi="Times New Roman" w:cs="Times New Roman"/>
          <w:color w:val="002060"/>
          <w:sz w:val="24"/>
          <w:szCs w:val="24"/>
        </w:rPr>
        <w:t>59A-22B-5 and 13.10.31</w:t>
      </w:r>
      <w:r w:rsidR="00661E88">
        <w:rPr>
          <w:rFonts w:ascii="Times New Roman" w:hAnsi="Times New Roman" w:cs="Times New Roman"/>
          <w:color w:val="002060"/>
          <w:sz w:val="24"/>
          <w:szCs w:val="24"/>
        </w:rPr>
        <w:t xml:space="preserve"> </w:t>
      </w:r>
      <w:r w:rsidRPr="003D76FB">
        <w:rPr>
          <w:rFonts w:ascii="Times New Roman" w:hAnsi="Times New Roman" w:cs="Times New Roman"/>
          <w:color w:val="002060"/>
          <w:sz w:val="24"/>
          <w:szCs w:val="24"/>
        </w:rPr>
        <w:t>NMAC</w:t>
      </w:r>
    </w:p>
    <w:p w14:paraId="0B12BF5C" w14:textId="77777777" w:rsidR="00661E88" w:rsidRDefault="00661E88" w:rsidP="00661E88">
      <w:pPr>
        <w:pBdr>
          <w:bottom w:val="single" w:sz="12" w:space="1" w:color="auto"/>
        </w:pBdr>
        <w:jc w:val="center"/>
        <w:rPr>
          <w:rFonts w:ascii="Times New Roman" w:hAnsi="Times New Roman" w:cs="Times New Roman"/>
        </w:rPr>
      </w:pPr>
    </w:p>
    <w:sdt>
      <w:sdtPr>
        <w:rPr>
          <w:rFonts w:asciiTheme="minorHAnsi" w:eastAsiaTheme="minorEastAsia" w:hAnsiTheme="minorHAnsi" w:cstheme="minorBidi"/>
          <w:color w:val="auto"/>
          <w:kern w:val="2"/>
          <w:sz w:val="24"/>
          <w:szCs w:val="24"/>
          <w14:ligatures w14:val="standardContextual"/>
        </w:rPr>
        <w:id w:val="852981626"/>
        <w:docPartObj>
          <w:docPartGallery w:val="Table of Contents"/>
          <w:docPartUnique/>
        </w:docPartObj>
      </w:sdtPr>
      <w:sdtEndPr/>
      <w:sdtContent>
        <w:p w14:paraId="5AF9046D" w14:textId="77777777" w:rsidR="00661E88" w:rsidRPr="00661E88" w:rsidRDefault="00661E88" w:rsidP="00661E88">
          <w:pPr>
            <w:pStyle w:val="TOCHeading"/>
            <w:spacing w:after="120"/>
            <w:rPr>
              <w:rFonts w:ascii="Times New Roman" w:hAnsi="Times New Roman" w:cs="Times New Roman"/>
              <w:color w:val="002060"/>
            </w:rPr>
          </w:pPr>
          <w:r w:rsidRPr="00661E88">
            <w:rPr>
              <w:rFonts w:ascii="Times New Roman" w:hAnsi="Times New Roman" w:cs="Times New Roman"/>
              <w:color w:val="002060"/>
            </w:rPr>
            <w:t>Contents</w:t>
          </w:r>
        </w:p>
        <w:p w14:paraId="1E2BC036" w14:textId="1724FB53" w:rsidR="00661E88" w:rsidRDefault="00661E88" w:rsidP="00661E88">
          <w:pPr>
            <w:pStyle w:val="TOC1"/>
            <w:tabs>
              <w:tab w:val="right" w:leader="dot" w:pos="9350"/>
            </w:tabs>
            <w:rPr>
              <w:rFonts w:eastAsiaTheme="minorEastAsia"/>
              <w:noProof/>
            </w:rPr>
          </w:pPr>
          <w:r w:rsidRPr="00A966A0">
            <w:rPr>
              <w:rFonts w:ascii="Times New Roman" w:hAnsi="Times New Roman" w:cs="Times New Roman"/>
            </w:rPr>
            <w:fldChar w:fldCharType="begin"/>
          </w:r>
          <w:r w:rsidRPr="00A966A0">
            <w:rPr>
              <w:rFonts w:ascii="Times New Roman" w:hAnsi="Times New Roman" w:cs="Times New Roman"/>
            </w:rPr>
            <w:instrText>TOC \o "1-3" \z \u \h</w:instrText>
          </w:r>
          <w:r w:rsidRPr="00A966A0">
            <w:rPr>
              <w:rFonts w:ascii="Times New Roman" w:hAnsi="Times New Roman" w:cs="Times New Roman"/>
            </w:rPr>
            <w:fldChar w:fldCharType="separate"/>
          </w:r>
          <w:hyperlink w:anchor="_Toc209356533" w:history="1">
            <w:r w:rsidRPr="002707CB">
              <w:rPr>
                <w:rStyle w:val="Hyperlink"/>
                <w:rFonts w:ascii="Times New Roman" w:hAnsi="Times New Roman" w:cs="Times New Roman"/>
                <w:noProof/>
              </w:rPr>
              <w:t>Executive Summary</w:t>
            </w:r>
            <w:r>
              <w:rPr>
                <w:noProof/>
                <w:webHidden/>
              </w:rPr>
              <w:tab/>
            </w:r>
            <w:r>
              <w:rPr>
                <w:noProof/>
                <w:webHidden/>
              </w:rPr>
              <w:fldChar w:fldCharType="begin"/>
            </w:r>
            <w:r>
              <w:rPr>
                <w:noProof/>
                <w:webHidden/>
              </w:rPr>
              <w:instrText xml:space="preserve"> PAGEREF _Toc209356533 \h </w:instrText>
            </w:r>
            <w:r>
              <w:rPr>
                <w:noProof/>
                <w:webHidden/>
              </w:rPr>
            </w:r>
            <w:r>
              <w:rPr>
                <w:noProof/>
                <w:webHidden/>
              </w:rPr>
              <w:fldChar w:fldCharType="separate"/>
            </w:r>
            <w:r w:rsidR="00B77F12">
              <w:rPr>
                <w:noProof/>
                <w:webHidden/>
              </w:rPr>
              <w:t>3</w:t>
            </w:r>
            <w:r>
              <w:rPr>
                <w:noProof/>
                <w:webHidden/>
              </w:rPr>
              <w:fldChar w:fldCharType="end"/>
            </w:r>
          </w:hyperlink>
        </w:p>
        <w:p w14:paraId="0F799FB4" w14:textId="7C2ABF5B" w:rsidR="00661E88" w:rsidRDefault="00661E88" w:rsidP="00661E88">
          <w:pPr>
            <w:pStyle w:val="TOC1"/>
            <w:tabs>
              <w:tab w:val="right" w:leader="dot" w:pos="9350"/>
            </w:tabs>
            <w:rPr>
              <w:rFonts w:eastAsiaTheme="minorEastAsia"/>
              <w:noProof/>
            </w:rPr>
          </w:pPr>
          <w:hyperlink w:anchor="_Toc209356534" w:history="1">
            <w:r w:rsidRPr="002707CB">
              <w:rPr>
                <w:rStyle w:val="Hyperlink"/>
                <w:rFonts w:ascii="Times New Roman" w:hAnsi="Times New Roman" w:cs="Times New Roman"/>
                <w:noProof/>
              </w:rPr>
              <w:t>Reporting Requirements</w:t>
            </w:r>
            <w:r>
              <w:rPr>
                <w:noProof/>
                <w:webHidden/>
              </w:rPr>
              <w:tab/>
            </w:r>
            <w:r>
              <w:rPr>
                <w:noProof/>
                <w:webHidden/>
              </w:rPr>
              <w:fldChar w:fldCharType="begin"/>
            </w:r>
            <w:r>
              <w:rPr>
                <w:noProof/>
                <w:webHidden/>
              </w:rPr>
              <w:instrText xml:space="preserve"> PAGEREF _Toc209356534 \h </w:instrText>
            </w:r>
            <w:r>
              <w:rPr>
                <w:noProof/>
                <w:webHidden/>
              </w:rPr>
            </w:r>
            <w:r>
              <w:rPr>
                <w:noProof/>
                <w:webHidden/>
              </w:rPr>
              <w:fldChar w:fldCharType="separate"/>
            </w:r>
            <w:r w:rsidR="00B77F12">
              <w:rPr>
                <w:noProof/>
                <w:webHidden/>
              </w:rPr>
              <w:t>5</w:t>
            </w:r>
            <w:r>
              <w:rPr>
                <w:noProof/>
                <w:webHidden/>
              </w:rPr>
              <w:fldChar w:fldCharType="end"/>
            </w:r>
          </w:hyperlink>
        </w:p>
        <w:p w14:paraId="47F065D3" w14:textId="765520FA" w:rsidR="00661E88" w:rsidRDefault="00661E88" w:rsidP="00661E88">
          <w:pPr>
            <w:pStyle w:val="TOC2"/>
            <w:tabs>
              <w:tab w:val="right" w:leader="dot" w:pos="9350"/>
            </w:tabs>
            <w:rPr>
              <w:rFonts w:eastAsiaTheme="minorEastAsia"/>
              <w:noProof/>
            </w:rPr>
          </w:pPr>
          <w:hyperlink w:anchor="_Toc209356535" w:history="1">
            <w:r w:rsidRPr="002707CB">
              <w:rPr>
                <w:rStyle w:val="Hyperlink"/>
                <w:rFonts w:ascii="Times New Roman" w:hAnsi="Times New Roman" w:cs="Times New Roman"/>
                <w:noProof/>
              </w:rPr>
              <w:t>New Mexico State Requirements for Prior Authorization</w:t>
            </w:r>
            <w:r>
              <w:rPr>
                <w:noProof/>
                <w:webHidden/>
              </w:rPr>
              <w:tab/>
            </w:r>
            <w:r>
              <w:rPr>
                <w:noProof/>
                <w:webHidden/>
              </w:rPr>
              <w:fldChar w:fldCharType="begin"/>
            </w:r>
            <w:r>
              <w:rPr>
                <w:noProof/>
                <w:webHidden/>
              </w:rPr>
              <w:instrText xml:space="preserve"> PAGEREF _Toc209356535 \h </w:instrText>
            </w:r>
            <w:r>
              <w:rPr>
                <w:noProof/>
                <w:webHidden/>
              </w:rPr>
            </w:r>
            <w:r>
              <w:rPr>
                <w:noProof/>
                <w:webHidden/>
              </w:rPr>
              <w:fldChar w:fldCharType="separate"/>
            </w:r>
            <w:r w:rsidR="00B77F12">
              <w:rPr>
                <w:noProof/>
                <w:webHidden/>
              </w:rPr>
              <w:t>6</w:t>
            </w:r>
            <w:r>
              <w:rPr>
                <w:noProof/>
                <w:webHidden/>
              </w:rPr>
              <w:fldChar w:fldCharType="end"/>
            </w:r>
          </w:hyperlink>
        </w:p>
        <w:p w14:paraId="6C7F3AA6" w14:textId="19EDC53D" w:rsidR="00661E88" w:rsidRDefault="00661E88" w:rsidP="00661E88">
          <w:pPr>
            <w:pStyle w:val="TOC1"/>
            <w:tabs>
              <w:tab w:val="right" w:leader="dot" w:pos="9350"/>
            </w:tabs>
            <w:rPr>
              <w:rFonts w:eastAsiaTheme="minorEastAsia"/>
              <w:noProof/>
            </w:rPr>
          </w:pPr>
          <w:hyperlink w:anchor="_Toc209356536" w:history="1">
            <w:r w:rsidRPr="002707CB">
              <w:rPr>
                <w:rStyle w:val="Hyperlink"/>
                <w:rFonts w:ascii="Times New Roman" w:hAnsi="Times New Roman" w:cs="Times New Roman"/>
                <w:noProof/>
              </w:rPr>
              <w:t>Key Statistics from Prior Authorization Reports</w:t>
            </w:r>
            <w:r>
              <w:rPr>
                <w:noProof/>
                <w:webHidden/>
              </w:rPr>
              <w:tab/>
            </w:r>
            <w:r>
              <w:rPr>
                <w:noProof/>
                <w:webHidden/>
              </w:rPr>
              <w:fldChar w:fldCharType="begin"/>
            </w:r>
            <w:r>
              <w:rPr>
                <w:noProof/>
                <w:webHidden/>
              </w:rPr>
              <w:instrText xml:space="preserve"> PAGEREF _Toc209356536 \h </w:instrText>
            </w:r>
            <w:r>
              <w:rPr>
                <w:noProof/>
                <w:webHidden/>
              </w:rPr>
            </w:r>
            <w:r>
              <w:rPr>
                <w:noProof/>
                <w:webHidden/>
              </w:rPr>
              <w:fldChar w:fldCharType="separate"/>
            </w:r>
            <w:r w:rsidR="00B77F12">
              <w:rPr>
                <w:noProof/>
                <w:webHidden/>
              </w:rPr>
              <w:t>8</w:t>
            </w:r>
            <w:r>
              <w:rPr>
                <w:noProof/>
                <w:webHidden/>
              </w:rPr>
              <w:fldChar w:fldCharType="end"/>
            </w:r>
          </w:hyperlink>
        </w:p>
        <w:p w14:paraId="67F9DAD4" w14:textId="13FC05E9" w:rsidR="00661E88" w:rsidRDefault="00661E88" w:rsidP="00661E88">
          <w:pPr>
            <w:pStyle w:val="TOC2"/>
            <w:tabs>
              <w:tab w:val="right" w:leader="dot" w:pos="9350"/>
            </w:tabs>
            <w:rPr>
              <w:rFonts w:eastAsiaTheme="minorEastAsia"/>
              <w:noProof/>
            </w:rPr>
          </w:pPr>
          <w:hyperlink w:anchor="_Toc209356537" w:history="1">
            <w:r w:rsidRPr="002707CB">
              <w:rPr>
                <w:rStyle w:val="Hyperlink"/>
                <w:rFonts w:ascii="Times New Roman" w:hAnsi="Times New Roman" w:cs="Times New Roman"/>
                <w:noProof/>
              </w:rPr>
              <w:t>Overall Prior Authorization Volume for All Health Insurers for 2023:</w:t>
            </w:r>
            <w:r>
              <w:rPr>
                <w:noProof/>
                <w:webHidden/>
              </w:rPr>
              <w:tab/>
            </w:r>
            <w:r>
              <w:rPr>
                <w:noProof/>
                <w:webHidden/>
              </w:rPr>
              <w:fldChar w:fldCharType="begin"/>
            </w:r>
            <w:r>
              <w:rPr>
                <w:noProof/>
                <w:webHidden/>
              </w:rPr>
              <w:instrText xml:space="preserve"> PAGEREF _Toc209356537 \h </w:instrText>
            </w:r>
            <w:r>
              <w:rPr>
                <w:noProof/>
                <w:webHidden/>
              </w:rPr>
            </w:r>
            <w:r>
              <w:rPr>
                <w:noProof/>
                <w:webHidden/>
              </w:rPr>
              <w:fldChar w:fldCharType="separate"/>
            </w:r>
            <w:r w:rsidR="00B77F12">
              <w:rPr>
                <w:noProof/>
                <w:webHidden/>
              </w:rPr>
              <w:t>8</w:t>
            </w:r>
            <w:r>
              <w:rPr>
                <w:noProof/>
                <w:webHidden/>
              </w:rPr>
              <w:fldChar w:fldCharType="end"/>
            </w:r>
          </w:hyperlink>
        </w:p>
        <w:p w14:paraId="774CDFD6" w14:textId="0BCF827E" w:rsidR="00661E88" w:rsidRDefault="00661E88" w:rsidP="00661E88">
          <w:pPr>
            <w:pStyle w:val="TOC2"/>
            <w:tabs>
              <w:tab w:val="right" w:leader="dot" w:pos="9350"/>
            </w:tabs>
            <w:rPr>
              <w:rFonts w:eastAsiaTheme="minorEastAsia"/>
              <w:noProof/>
            </w:rPr>
          </w:pPr>
          <w:hyperlink w:anchor="_Toc209356538" w:history="1">
            <w:r w:rsidRPr="002707CB">
              <w:rPr>
                <w:rStyle w:val="Hyperlink"/>
                <w:rFonts w:ascii="Times New Roman" w:hAnsi="Times New Roman" w:cs="Times New Roman"/>
                <w:noProof/>
              </w:rPr>
              <w:t>Distribution of Prior Authorization Requests, by Type of Service</w:t>
            </w:r>
            <w:r>
              <w:rPr>
                <w:noProof/>
                <w:webHidden/>
              </w:rPr>
              <w:tab/>
            </w:r>
            <w:r>
              <w:rPr>
                <w:noProof/>
                <w:webHidden/>
              </w:rPr>
              <w:fldChar w:fldCharType="begin"/>
            </w:r>
            <w:r>
              <w:rPr>
                <w:noProof/>
                <w:webHidden/>
              </w:rPr>
              <w:instrText xml:space="preserve"> PAGEREF _Toc209356538 \h </w:instrText>
            </w:r>
            <w:r>
              <w:rPr>
                <w:noProof/>
                <w:webHidden/>
              </w:rPr>
            </w:r>
            <w:r>
              <w:rPr>
                <w:noProof/>
                <w:webHidden/>
              </w:rPr>
              <w:fldChar w:fldCharType="separate"/>
            </w:r>
            <w:r w:rsidR="00B77F12">
              <w:rPr>
                <w:noProof/>
                <w:webHidden/>
              </w:rPr>
              <w:t>10</w:t>
            </w:r>
            <w:r>
              <w:rPr>
                <w:noProof/>
                <w:webHidden/>
              </w:rPr>
              <w:fldChar w:fldCharType="end"/>
            </w:r>
          </w:hyperlink>
        </w:p>
        <w:p w14:paraId="5B34195D" w14:textId="1DDF2D0D" w:rsidR="00661E88" w:rsidRDefault="00661E88" w:rsidP="00661E88">
          <w:pPr>
            <w:pStyle w:val="TOC2"/>
            <w:tabs>
              <w:tab w:val="right" w:leader="dot" w:pos="9350"/>
            </w:tabs>
            <w:rPr>
              <w:rFonts w:eastAsiaTheme="minorEastAsia"/>
              <w:noProof/>
            </w:rPr>
          </w:pPr>
          <w:hyperlink w:anchor="_Toc209356539" w:history="1">
            <w:r w:rsidRPr="002707CB">
              <w:rPr>
                <w:rStyle w:val="Hyperlink"/>
                <w:rFonts w:ascii="Times New Roman" w:hAnsi="Times New Roman" w:cs="Times New Roman"/>
                <w:noProof/>
              </w:rPr>
              <w:t>Approval and Denial Rates by Insurer</w:t>
            </w:r>
            <w:r>
              <w:rPr>
                <w:noProof/>
                <w:webHidden/>
              </w:rPr>
              <w:tab/>
            </w:r>
            <w:r>
              <w:rPr>
                <w:noProof/>
                <w:webHidden/>
              </w:rPr>
              <w:fldChar w:fldCharType="begin"/>
            </w:r>
            <w:r>
              <w:rPr>
                <w:noProof/>
                <w:webHidden/>
              </w:rPr>
              <w:instrText xml:space="preserve"> PAGEREF _Toc209356539 \h </w:instrText>
            </w:r>
            <w:r>
              <w:rPr>
                <w:noProof/>
                <w:webHidden/>
              </w:rPr>
            </w:r>
            <w:r>
              <w:rPr>
                <w:noProof/>
                <w:webHidden/>
              </w:rPr>
              <w:fldChar w:fldCharType="separate"/>
            </w:r>
            <w:r w:rsidR="00B77F12">
              <w:rPr>
                <w:noProof/>
                <w:webHidden/>
              </w:rPr>
              <w:t>10</w:t>
            </w:r>
            <w:r>
              <w:rPr>
                <w:noProof/>
                <w:webHidden/>
              </w:rPr>
              <w:fldChar w:fldCharType="end"/>
            </w:r>
          </w:hyperlink>
        </w:p>
        <w:p w14:paraId="78BDF21A" w14:textId="6B244F2A" w:rsidR="00661E88" w:rsidRDefault="00661E88" w:rsidP="00661E88">
          <w:pPr>
            <w:pStyle w:val="TOC2"/>
            <w:tabs>
              <w:tab w:val="right" w:leader="dot" w:pos="9350"/>
            </w:tabs>
            <w:rPr>
              <w:rFonts w:eastAsiaTheme="minorEastAsia"/>
              <w:noProof/>
            </w:rPr>
          </w:pPr>
          <w:hyperlink w:anchor="_Toc209356540" w:history="1">
            <w:r w:rsidRPr="002707CB">
              <w:rPr>
                <w:rStyle w:val="Hyperlink"/>
                <w:rFonts w:ascii="Times New Roman" w:hAnsi="Times New Roman" w:cs="Times New Roman"/>
                <w:noProof/>
              </w:rPr>
              <w:t>Denial Rates by Insurer and Type of Service</w:t>
            </w:r>
            <w:r>
              <w:rPr>
                <w:noProof/>
                <w:webHidden/>
              </w:rPr>
              <w:tab/>
            </w:r>
            <w:r>
              <w:rPr>
                <w:noProof/>
                <w:webHidden/>
              </w:rPr>
              <w:fldChar w:fldCharType="begin"/>
            </w:r>
            <w:r>
              <w:rPr>
                <w:noProof/>
                <w:webHidden/>
              </w:rPr>
              <w:instrText xml:space="preserve"> PAGEREF _Toc209356540 \h </w:instrText>
            </w:r>
            <w:r>
              <w:rPr>
                <w:noProof/>
                <w:webHidden/>
              </w:rPr>
            </w:r>
            <w:r>
              <w:rPr>
                <w:noProof/>
                <w:webHidden/>
              </w:rPr>
              <w:fldChar w:fldCharType="separate"/>
            </w:r>
            <w:r w:rsidR="00B77F12">
              <w:rPr>
                <w:noProof/>
                <w:webHidden/>
              </w:rPr>
              <w:t>11</w:t>
            </w:r>
            <w:r>
              <w:rPr>
                <w:noProof/>
                <w:webHidden/>
              </w:rPr>
              <w:fldChar w:fldCharType="end"/>
            </w:r>
          </w:hyperlink>
        </w:p>
        <w:p w14:paraId="29FDD02C" w14:textId="2D87E1A6" w:rsidR="00661E88" w:rsidRDefault="00661E88" w:rsidP="00661E88">
          <w:pPr>
            <w:pStyle w:val="TOC3"/>
            <w:tabs>
              <w:tab w:val="right" w:leader="dot" w:pos="9350"/>
            </w:tabs>
            <w:rPr>
              <w:rFonts w:eastAsiaTheme="minorEastAsia"/>
              <w:noProof/>
            </w:rPr>
          </w:pPr>
          <w:hyperlink w:anchor="_Toc209356541" w:history="1">
            <w:r w:rsidRPr="002707CB">
              <w:rPr>
                <w:rStyle w:val="Hyperlink"/>
                <w:rFonts w:ascii="Times New Roman" w:hAnsi="Times New Roman" w:cs="Times New Roman"/>
                <w:noProof/>
              </w:rPr>
              <w:t>Inpatient Services</w:t>
            </w:r>
            <w:r>
              <w:rPr>
                <w:noProof/>
                <w:webHidden/>
              </w:rPr>
              <w:tab/>
            </w:r>
            <w:r>
              <w:rPr>
                <w:noProof/>
                <w:webHidden/>
              </w:rPr>
              <w:fldChar w:fldCharType="begin"/>
            </w:r>
            <w:r>
              <w:rPr>
                <w:noProof/>
                <w:webHidden/>
              </w:rPr>
              <w:instrText xml:space="preserve"> PAGEREF _Toc209356541 \h </w:instrText>
            </w:r>
            <w:r>
              <w:rPr>
                <w:noProof/>
                <w:webHidden/>
              </w:rPr>
            </w:r>
            <w:r>
              <w:rPr>
                <w:noProof/>
                <w:webHidden/>
              </w:rPr>
              <w:fldChar w:fldCharType="separate"/>
            </w:r>
            <w:r w:rsidR="00B77F12">
              <w:rPr>
                <w:noProof/>
                <w:webHidden/>
              </w:rPr>
              <w:t>11</w:t>
            </w:r>
            <w:r>
              <w:rPr>
                <w:noProof/>
                <w:webHidden/>
              </w:rPr>
              <w:fldChar w:fldCharType="end"/>
            </w:r>
          </w:hyperlink>
        </w:p>
        <w:p w14:paraId="0928043A" w14:textId="7C614F76" w:rsidR="00661E88" w:rsidRDefault="00661E88" w:rsidP="00661E88">
          <w:pPr>
            <w:pStyle w:val="TOC3"/>
            <w:tabs>
              <w:tab w:val="right" w:leader="dot" w:pos="9350"/>
            </w:tabs>
            <w:rPr>
              <w:rFonts w:eastAsiaTheme="minorEastAsia"/>
              <w:noProof/>
            </w:rPr>
          </w:pPr>
          <w:hyperlink w:anchor="_Toc209356542" w:history="1">
            <w:r w:rsidRPr="002707CB">
              <w:rPr>
                <w:rStyle w:val="Hyperlink"/>
                <w:rFonts w:ascii="Times New Roman" w:hAnsi="Times New Roman" w:cs="Times New Roman"/>
                <w:noProof/>
              </w:rPr>
              <w:t>Outpatient Services</w:t>
            </w:r>
            <w:r>
              <w:rPr>
                <w:noProof/>
                <w:webHidden/>
              </w:rPr>
              <w:tab/>
            </w:r>
            <w:r>
              <w:rPr>
                <w:noProof/>
                <w:webHidden/>
              </w:rPr>
              <w:fldChar w:fldCharType="begin"/>
            </w:r>
            <w:r>
              <w:rPr>
                <w:noProof/>
                <w:webHidden/>
              </w:rPr>
              <w:instrText xml:space="preserve"> PAGEREF _Toc209356542 \h </w:instrText>
            </w:r>
            <w:r>
              <w:rPr>
                <w:noProof/>
                <w:webHidden/>
              </w:rPr>
            </w:r>
            <w:r>
              <w:rPr>
                <w:noProof/>
                <w:webHidden/>
              </w:rPr>
              <w:fldChar w:fldCharType="separate"/>
            </w:r>
            <w:r w:rsidR="00B77F12">
              <w:rPr>
                <w:noProof/>
                <w:webHidden/>
              </w:rPr>
              <w:t>11</w:t>
            </w:r>
            <w:r>
              <w:rPr>
                <w:noProof/>
                <w:webHidden/>
              </w:rPr>
              <w:fldChar w:fldCharType="end"/>
            </w:r>
          </w:hyperlink>
        </w:p>
        <w:p w14:paraId="5F36C92F" w14:textId="73B5609C" w:rsidR="00661E88" w:rsidRDefault="00661E88" w:rsidP="00661E88">
          <w:pPr>
            <w:pStyle w:val="TOC3"/>
            <w:tabs>
              <w:tab w:val="right" w:leader="dot" w:pos="9350"/>
            </w:tabs>
            <w:rPr>
              <w:rFonts w:eastAsiaTheme="minorEastAsia"/>
              <w:noProof/>
            </w:rPr>
          </w:pPr>
          <w:hyperlink w:anchor="_Toc209356543" w:history="1">
            <w:r w:rsidRPr="002707CB">
              <w:rPr>
                <w:rStyle w:val="Hyperlink"/>
                <w:rFonts w:ascii="Times New Roman" w:hAnsi="Times New Roman" w:cs="Times New Roman"/>
                <w:noProof/>
              </w:rPr>
              <w:t>Pharmacy Services</w:t>
            </w:r>
            <w:r>
              <w:rPr>
                <w:noProof/>
                <w:webHidden/>
              </w:rPr>
              <w:tab/>
            </w:r>
            <w:r>
              <w:rPr>
                <w:noProof/>
                <w:webHidden/>
              </w:rPr>
              <w:fldChar w:fldCharType="begin"/>
            </w:r>
            <w:r>
              <w:rPr>
                <w:noProof/>
                <w:webHidden/>
              </w:rPr>
              <w:instrText xml:space="preserve"> PAGEREF _Toc209356543 \h </w:instrText>
            </w:r>
            <w:r>
              <w:rPr>
                <w:noProof/>
                <w:webHidden/>
              </w:rPr>
            </w:r>
            <w:r>
              <w:rPr>
                <w:noProof/>
                <w:webHidden/>
              </w:rPr>
              <w:fldChar w:fldCharType="separate"/>
            </w:r>
            <w:r w:rsidR="00B77F12">
              <w:rPr>
                <w:noProof/>
                <w:webHidden/>
              </w:rPr>
              <w:t>12</w:t>
            </w:r>
            <w:r>
              <w:rPr>
                <w:noProof/>
                <w:webHidden/>
              </w:rPr>
              <w:fldChar w:fldCharType="end"/>
            </w:r>
          </w:hyperlink>
        </w:p>
        <w:p w14:paraId="53D0FF0B" w14:textId="3F85FC31" w:rsidR="00661E88" w:rsidRDefault="00661E88" w:rsidP="00661E88">
          <w:pPr>
            <w:pStyle w:val="TOC1"/>
            <w:tabs>
              <w:tab w:val="right" w:leader="dot" w:pos="9350"/>
            </w:tabs>
            <w:rPr>
              <w:rFonts w:eastAsiaTheme="minorEastAsia"/>
              <w:noProof/>
            </w:rPr>
          </w:pPr>
          <w:hyperlink w:anchor="_Toc209356544" w:history="1">
            <w:r w:rsidRPr="002707CB">
              <w:rPr>
                <w:rStyle w:val="Hyperlink"/>
                <w:rFonts w:ascii="Times New Roman" w:hAnsi="Times New Roman" w:cs="Times New Roman"/>
                <w:noProof/>
              </w:rPr>
              <w:t>Recommended Clinical Review</w:t>
            </w:r>
            <w:r>
              <w:rPr>
                <w:noProof/>
                <w:webHidden/>
              </w:rPr>
              <w:tab/>
            </w:r>
            <w:r>
              <w:rPr>
                <w:noProof/>
                <w:webHidden/>
              </w:rPr>
              <w:fldChar w:fldCharType="begin"/>
            </w:r>
            <w:r>
              <w:rPr>
                <w:noProof/>
                <w:webHidden/>
              </w:rPr>
              <w:instrText xml:space="preserve"> PAGEREF _Toc209356544 \h </w:instrText>
            </w:r>
            <w:r>
              <w:rPr>
                <w:noProof/>
                <w:webHidden/>
              </w:rPr>
            </w:r>
            <w:r>
              <w:rPr>
                <w:noProof/>
                <w:webHidden/>
              </w:rPr>
              <w:fldChar w:fldCharType="separate"/>
            </w:r>
            <w:r w:rsidR="00B77F12">
              <w:rPr>
                <w:noProof/>
                <w:webHidden/>
              </w:rPr>
              <w:t>13</w:t>
            </w:r>
            <w:r>
              <w:rPr>
                <w:noProof/>
                <w:webHidden/>
              </w:rPr>
              <w:fldChar w:fldCharType="end"/>
            </w:r>
          </w:hyperlink>
        </w:p>
        <w:p w14:paraId="13D52336" w14:textId="41B21AB9" w:rsidR="00661E88" w:rsidRDefault="00661E88" w:rsidP="00661E88">
          <w:pPr>
            <w:pStyle w:val="TOC1"/>
            <w:tabs>
              <w:tab w:val="right" w:leader="dot" w:pos="9350"/>
            </w:tabs>
            <w:rPr>
              <w:rFonts w:eastAsiaTheme="minorEastAsia"/>
              <w:noProof/>
            </w:rPr>
          </w:pPr>
          <w:hyperlink w:anchor="_Toc209356545" w:history="1">
            <w:r w:rsidRPr="002707CB">
              <w:rPr>
                <w:rStyle w:val="Hyperlink"/>
                <w:rFonts w:ascii="Times New Roman" w:hAnsi="Times New Roman" w:cs="Times New Roman"/>
                <w:noProof/>
              </w:rPr>
              <w:t>Timeliness</w:t>
            </w:r>
            <w:r>
              <w:rPr>
                <w:noProof/>
                <w:webHidden/>
              </w:rPr>
              <w:tab/>
            </w:r>
            <w:r>
              <w:rPr>
                <w:noProof/>
                <w:webHidden/>
              </w:rPr>
              <w:fldChar w:fldCharType="begin"/>
            </w:r>
            <w:r>
              <w:rPr>
                <w:noProof/>
                <w:webHidden/>
              </w:rPr>
              <w:instrText xml:space="preserve"> PAGEREF _Toc209356545 \h </w:instrText>
            </w:r>
            <w:r>
              <w:rPr>
                <w:noProof/>
                <w:webHidden/>
              </w:rPr>
            </w:r>
            <w:r>
              <w:rPr>
                <w:noProof/>
                <w:webHidden/>
              </w:rPr>
              <w:fldChar w:fldCharType="separate"/>
            </w:r>
            <w:r w:rsidR="00B77F12">
              <w:rPr>
                <w:noProof/>
                <w:webHidden/>
              </w:rPr>
              <w:t>13</w:t>
            </w:r>
            <w:r>
              <w:rPr>
                <w:noProof/>
                <w:webHidden/>
              </w:rPr>
              <w:fldChar w:fldCharType="end"/>
            </w:r>
          </w:hyperlink>
        </w:p>
        <w:p w14:paraId="72B49CC4" w14:textId="75505E6B" w:rsidR="00661E88" w:rsidRDefault="00661E88" w:rsidP="00661E88">
          <w:pPr>
            <w:pStyle w:val="TOC2"/>
            <w:tabs>
              <w:tab w:val="right" w:leader="dot" w:pos="9350"/>
            </w:tabs>
            <w:rPr>
              <w:rFonts w:eastAsiaTheme="minorEastAsia"/>
              <w:noProof/>
            </w:rPr>
          </w:pPr>
          <w:hyperlink w:anchor="_Toc209356546" w:history="1">
            <w:r w:rsidRPr="002707CB">
              <w:rPr>
                <w:rStyle w:val="Hyperlink"/>
                <w:rFonts w:ascii="Times New Roman" w:hAnsi="Times New Roman" w:cs="Times New Roman"/>
                <w:noProof/>
              </w:rPr>
              <w:t>Timeliness by Category and Insurer</w:t>
            </w:r>
            <w:r>
              <w:rPr>
                <w:noProof/>
                <w:webHidden/>
              </w:rPr>
              <w:tab/>
            </w:r>
            <w:r>
              <w:rPr>
                <w:noProof/>
                <w:webHidden/>
              </w:rPr>
              <w:fldChar w:fldCharType="begin"/>
            </w:r>
            <w:r>
              <w:rPr>
                <w:noProof/>
                <w:webHidden/>
              </w:rPr>
              <w:instrText xml:space="preserve"> PAGEREF _Toc209356546 \h </w:instrText>
            </w:r>
            <w:r>
              <w:rPr>
                <w:noProof/>
                <w:webHidden/>
              </w:rPr>
            </w:r>
            <w:r>
              <w:rPr>
                <w:noProof/>
                <w:webHidden/>
              </w:rPr>
              <w:fldChar w:fldCharType="separate"/>
            </w:r>
            <w:r w:rsidR="00B77F12">
              <w:rPr>
                <w:noProof/>
                <w:webHidden/>
              </w:rPr>
              <w:t>14</w:t>
            </w:r>
            <w:r>
              <w:rPr>
                <w:noProof/>
                <w:webHidden/>
              </w:rPr>
              <w:fldChar w:fldCharType="end"/>
            </w:r>
          </w:hyperlink>
        </w:p>
        <w:p w14:paraId="15EEF65A" w14:textId="56216CDB" w:rsidR="00661E88" w:rsidRDefault="00661E88" w:rsidP="00661E88">
          <w:pPr>
            <w:pStyle w:val="TOC1"/>
            <w:tabs>
              <w:tab w:val="right" w:leader="dot" w:pos="9350"/>
            </w:tabs>
            <w:rPr>
              <w:rFonts w:eastAsiaTheme="minorEastAsia"/>
              <w:noProof/>
            </w:rPr>
          </w:pPr>
          <w:hyperlink w:anchor="_Toc209356547" w:history="1">
            <w:r w:rsidRPr="002707CB">
              <w:rPr>
                <w:rStyle w:val="Hyperlink"/>
                <w:rFonts w:ascii="Times New Roman" w:hAnsi="Times New Roman" w:cs="Times New Roman"/>
                <w:noProof/>
              </w:rPr>
              <w:t>Pharmacy Specific Authorization Statistics</w:t>
            </w:r>
            <w:r>
              <w:rPr>
                <w:noProof/>
                <w:webHidden/>
              </w:rPr>
              <w:tab/>
            </w:r>
            <w:r>
              <w:rPr>
                <w:noProof/>
                <w:webHidden/>
              </w:rPr>
              <w:fldChar w:fldCharType="begin"/>
            </w:r>
            <w:r>
              <w:rPr>
                <w:noProof/>
                <w:webHidden/>
              </w:rPr>
              <w:instrText xml:space="preserve"> PAGEREF _Toc209356547 \h </w:instrText>
            </w:r>
            <w:r>
              <w:rPr>
                <w:noProof/>
                <w:webHidden/>
              </w:rPr>
            </w:r>
            <w:r>
              <w:rPr>
                <w:noProof/>
                <w:webHidden/>
              </w:rPr>
              <w:fldChar w:fldCharType="separate"/>
            </w:r>
            <w:r w:rsidR="00B77F12">
              <w:rPr>
                <w:noProof/>
                <w:webHidden/>
              </w:rPr>
              <w:t>15</w:t>
            </w:r>
            <w:r>
              <w:rPr>
                <w:noProof/>
                <w:webHidden/>
              </w:rPr>
              <w:fldChar w:fldCharType="end"/>
            </w:r>
          </w:hyperlink>
        </w:p>
        <w:p w14:paraId="0B6DAAF2" w14:textId="22992B08" w:rsidR="00661E88" w:rsidRDefault="00661E88" w:rsidP="00661E88">
          <w:pPr>
            <w:pStyle w:val="TOC2"/>
            <w:tabs>
              <w:tab w:val="right" w:leader="dot" w:pos="9350"/>
            </w:tabs>
            <w:rPr>
              <w:rFonts w:eastAsiaTheme="minorEastAsia"/>
              <w:noProof/>
            </w:rPr>
          </w:pPr>
          <w:hyperlink w:anchor="_Toc209356548" w:history="1">
            <w:r w:rsidRPr="002707CB">
              <w:rPr>
                <w:rStyle w:val="Hyperlink"/>
                <w:rFonts w:ascii="Times New Roman" w:hAnsi="Times New Roman" w:cs="Times New Roman"/>
                <w:noProof/>
              </w:rPr>
              <w:t xml:space="preserve">Step Therapy and Formulary Exception Request by Type </w:t>
            </w:r>
            <w:r>
              <w:rPr>
                <w:noProof/>
                <w:webHidden/>
              </w:rPr>
              <w:tab/>
            </w:r>
            <w:r>
              <w:rPr>
                <w:noProof/>
                <w:webHidden/>
              </w:rPr>
              <w:fldChar w:fldCharType="begin"/>
            </w:r>
            <w:r>
              <w:rPr>
                <w:noProof/>
                <w:webHidden/>
              </w:rPr>
              <w:instrText xml:space="preserve"> PAGEREF _Toc209356548 \h </w:instrText>
            </w:r>
            <w:r>
              <w:rPr>
                <w:noProof/>
                <w:webHidden/>
              </w:rPr>
            </w:r>
            <w:r>
              <w:rPr>
                <w:noProof/>
                <w:webHidden/>
              </w:rPr>
              <w:fldChar w:fldCharType="separate"/>
            </w:r>
            <w:r w:rsidR="00B77F12">
              <w:rPr>
                <w:noProof/>
                <w:webHidden/>
              </w:rPr>
              <w:t>16</w:t>
            </w:r>
            <w:r>
              <w:rPr>
                <w:noProof/>
                <w:webHidden/>
              </w:rPr>
              <w:fldChar w:fldCharType="end"/>
            </w:r>
          </w:hyperlink>
        </w:p>
        <w:p w14:paraId="0943CE00" w14:textId="558F9847" w:rsidR="00661E88" w:rsidRDefault="00661E88" w:rsidP="00661E88">
          <w:pPr>
            <w:pStyle w:val="TOC2"/>
            <w:tabs>
              <w:tab w:val="right" w:leader="dot" w:pos="9350"/>
            </w:tabs>
            <w:rPr>
              <w:rFonts w:eastAsiaTheme="minorEastAsia"/>
              <w:noProof/>
            </w:rPr>
          </w:pPr>
          <w:hyperlink w:anchor="_Toc209356549" w:history="1">
            <w:r w:rsidRPr="002707CB">
              <w:rPr>
                <w:rStyle w:val="Hyperlink"/>
                <w:rFonts w:ascii="Times New Roman" w:hAnsi="Times New Roman" w:cs="Times New Roman"/>
                <w:noProof/>
              </w:rPr>
              <w:t>Step Therapy Exception Requests</w:t>
            </w:r>
            <w:r>
              <w:rPr>
                <w:noProof/>
                <w:webHidden/>
              </w:rPr>
              <w:tab/>
            </w:r>
            <w:r>
              <w:rPr>
                <w:noProof/>
                <w:webHidden/>
              </w:rPr>
              <w:fldChar w:fldCharType="begin"/>
            </w:r>
            <w:r>
              <w:rPr>
                <w:noProof/>
                <w:webHidden/>
              </w:rPr>
              <w:instrText xml:space="preserve"> PAGEREF _Toc209356549 \h </w:instrText>
            </w:r>
            <w:r>
              <w:rPr>
                <w:noProof/>
                <w:webHidden/>
              </w:rPr>
            </w:r>
            <w:r>
              <w:rPr>
                <w:noProof/>
                <w:webHidden/>
              </w:rPr>
              <w:fldChar w:fldCharType="separate"/>
            </w:r>
            <w:r w:rsidR="00B77F12">
              <w:rPr>
                <w:noProof/>
                <w:webHidden/>
              </w:rPr>
              <w:t>17</w:t>
            </w:r>
            <w:r>
              <w:rPr>
                <w:noProof/>
                <w:webHidden/>
              </w:rPr>
              <w:fldChar w:fldCharType="end"/>
            </w:r>
          </w:hyperlink>
        </w:p>
        <w:p w14:paraId="09427F70" w14:textId="0A795F46" w:rsidR="00661E88" w:rsidRDefault="00661E88" w:rsidP="00661E88">
          <w:pPr>
            <w:pStyle w:val="TOC2"/>
            <w:tabs>
              <w:tab w:val="right" w:leader="dot" w:pos="9350"/>
            </w:tabs>
            <w:rPr>
              <w:rFonts w:eastAsiaTheme="minorEastAsia"/>
              <w:noProof/>
            </w:rPr>
          </w:pPr>
          <w:hyperlink w:anchor="_Toc209356550" w:history="1">
            <w:r w:rsidRPr="002707CB">
              <w:rPr>
                <w:rStyle w:val="Hyperlink"/>
                <w:rFonts w:ascii="Times New Roman" w:hAnsi="Times New Roman" w:cs="Times New Roman"/>
                <w:noProof/>
              </w:rPr>
              <w:t>Drug Formulary Exception Requests</w:t>
            </w:r>
            <w:r>
              <w:rPr>
                <w:noProof/>
                <w:webHidden/>
              </w:rPr>
              <w:tab/>
            </w:r>
            <w:r>
              <w:rPr>
                <w:noProof/>
                <w:webHidden/>
              </w:rPr>
              <w:fldChar w:fldCharType="begin"/>
            </w:r>
            <w:r>
              <w:rPr>
                <w:noProof/>
                <w:webHidden/>
              </w:rPr>
              <w:instrText xml:space="preserve"> PAGEREF _Toc209356550 \h </w:instrText>
            </w:r>
            <w:r>
              <w:rPr>
                <w:noProof/>
                <w:webHidden/>
              </w:rPr>
            </w:r>
            <w:r>
              <w:rPr>
                <w:noProof/>
                <w:webHidden/>
              </w:rPr>
              <w:fldChar w:fldCharType="separate"/>
            </w:r>
            <w:r w:rsidR="00B77F12">
              <w:rPr>
                <w:noProof/>
                <w:webHidden/>
              </w:rPr>
              <w:t>17</w:t>
            </w:r>
            <w:r>
              <w:rPr>
                <w:noProof/>
                <w:webHidden/>
              </w:rPr>
              <w:fldChar w:fldCharType="end"/>
            </w:r>
          </w:hyperlink>
        </w:p>
        <w:p w14:paraId="571FB052" w14:textId="1A35FC6E" w:rsidR="00661E88" w:rsidRDefault="00661E88" w:rsidP="00661E88">
          <w:pPr>
            <w:pStyle w:val="TOC2"/>
            <w:tabs>
              <w:tab w:val="right" w:leader="dot" w:pos="9350"/>
            </w:tabs>
            <w:rPr>
              <w:rFonts w:eastAsiaTheme="minorEastAsia"/>
              <w:noProof/>
            </w:rPr>
          </w:pPr>
          <w:hyperlink w:anchor="_Toc209356551" w:history="1">
            <w:r w:rsidRPr="002707CB">
              <w:rPr>
                <w:rStyle w:val="Hyperlink"/>
                <w:rFonts w:ascii="Times New Roman" w:hAnsi="Times New Roman" w:cs="Times New Roman"/>
                <w:noProof/>
              </w:rPr>
              <w:t>Top Denied Procedures and Drugs</w:t>
            </w:r>
            <w:r>
              <w:rPr>
                <w:noProof/>
                <w:webHidden/>
              </w:rPr>
              <w:tab/>
            </w:r>
            <w:r>
              <w:rPr>
                <w:noProof/>
                <w:webHidden/>
              </w:rPr>
              <w:fldChar w:fldCharType="begin"/>
            </w:r>
            <w:r>
              <w:rPr>
                <w:noProof/>
                <w:webHidden/>
              </w:rPr>
              <w:instrText xml:space="preserve"> PAGEREF _Toc209356551 \h </w:instrText>
            </w:r>
            <w:r>
              <w:rPr>
                <w:noProof/>
                <w:webHidden/>
              </w:rPr>
            </w:r>
            <w:r>
              <w:rPr>
                <w:noProof/>
                <w:webHidden/>
              </w:rPr>
              <w:fldChar w:fldCharType="separate"/>
            </w:r>
            <w:r w:rsidR="00B77F12">
              <w:rPr>
                <w:noProof/>
                <w:webHidden/>
              </w:rPr>
              <w:t>18</w:t>
            </w:r>
            <w:r>
              <w:rPr>
                <w:noProof/>
                <w:webHidden/>
              </w:rPr>
              <w:fldChar w:fldCharType="end"/>
            </w:r>
          </w:hyperlink>
        </w:p>
        <w:p w14:paraId="75BC2250" w14:textId="3F53F003" w:rsidR="00661E88" w:rsidRDefault="00661E88" w:rsidP="00661E88">
          <w:pPr>
            <w:pStyle w:val="TOC1"/>
            <w:tabs>
              <w:tab w:val="right" w:leader="dot" w:pos="9350"/>
            </w:tabs>
            <w:rPr>
              <w:rFonts w:eastAsiaTheme="minorEastAsia"/>
              <w:noProof/>
            </w:rPr>
          </w:pPr>
          <w:hyperlink w:anchor="_Toc209356552" w:history="1">
            <w:r w:rsidRPr="002707CB">
              <w:rPr>
                <w:rStyle w:val="Hyperlink"/>
                <w:rFonts w:ascii="Times New Roman" w:hAnsi="Times New Roman" w:cs="Times New Roman"/>
                <w:noProof/>
              </w:rPr>
              <w:t>Report Summary</w:t>
            </w:r>
            <w:r>
              <w:rPr>
                <w:noProof/>
                <w:webHidden/>
              </w:rPr>
              <w:tab/>
            </w:r>
            <w:r>
              <w:rPr>
                <w:noProof/>
                <w:webHidden/>
              </w:rPr>
              <w:fldChar w:fldCharType="begin"/>
            </w:r>
            <w:r>
              <w:rPr>
                <w:noProof/>
                <w:webHidden/>
              </w:rPr>
              <w:instrText xml:space="preserve"> PAGEREF _Toc209356552 \h </w:instrText>
            </w:r>
            <w:r>
              <w:rPr>
                <w:noProof/>
                <w:webHidden/>
              </w:rPr>
            </w:r>
            <w:r>
              <w:rPr>
                <w:noProof/>
                <w:webHidden/>
              </w:rPr>
              <w:fldChar w:fldCharType="separate"/>
            </w:r>
            <w:r w:rsidR="00B77F12">
              <w:rPr>
                <w:noProof/>
                <w:webHidden/>
              </w:rPr>
              <w:t>19</w:t>
            </w:r>
            <w:r>
              <w:rPr>
                <w:noProof/>
                <w:webHidden/>
              </w:rPr>
              <w:fldChar w:fldCharType="end"/>
            </w:r>
          </w:hyperlink>
        </w:p>
        <w:p w14:paraId="4D7D3FD0" w14:textId="77777777" w:rsidR="00661E88" w:rsidRDefault="00661E88" w:rsidP="00661E88">
          <w:pPr>
            <w:pStyle w:val="TOC1"/>
            <w:tabs>
              <w:tab w:val="right" w:leader="dot" w:pos="9345"/>
            </w:tabs>
            <w:rPr>
              <w:rFonts w:eastAsiaTheme="minorEastAsia"/>
            </w:rPr>
          </w:pPr>
          <w:r w:rsidRPr="00A966A0">
            <w:rPr>
              <w:rFonts w:ascii="Times New Roman" w:hAnsi="Times New Roman" w:cs="Times New Roman"/>
            </w:rPr>
            <w:fldChar w:fldCharType="end"/>
          </w:r>
        </w:p>
      </w:sdtContent>
    </w:sdt>
    <w:p w14:paraId="55633BC6" w14:textId="77777777" w:rsidR="00661E88" w:rsidRDefault="00661E88" w:rsidP="00175B77">
      <w:pPr>
        <w:rPr>
          <w:rFonts w:ascii="Times New Roman" w:hAnsi="Times New Roman" w:cs="Times New Roman"/>
        </w:rPr>
      </w:pPr>
    </w:p>
    <w:p w14:paraId="0FBF3A01" w14:textId="77777777" w:rsidR="00661E88" w:rsidRDefault="00661E88" w:rsidP="00175B77">
      <w:pPr>
        <w:rPr>
          <w:rFonts w:ascii="Times New Roman" w:hAnsi="Times New Roman" w:cs="Times New Roman"/>
        </w:rPr>
      </w:pPr>
    </w:p>
    <w:p w14:paraId="2B2C2470" w14:textId="77777777" w:rsidR="00661E88" w:rsidRDefault="00661E88" w:rsidP="00175B77">
      <w:pPr>
        <w:rPr>
          <w:rFonts w:ascii="Times New Roman" w:hAnsi="Times New Roman" w:cs="Times New Roman"/>
        </w:rPr>
      </w:pPr>
    </w:p>
    <w:p w14:paraId="320AD7C7" w14:textId="77777777" w:rsidR="00661E88" w:rsidRDefault="00661E88" w:rsidP="00175B77">
      <w:pPr>
        <w:rPr>
          <w:rFonts w:ascii="Times New Roman" w:hAnsi="Times New Roman" w:cs="Times New Roman"/>
        </w:rPr>
      </w:pPr>
    </w:p>
    <w:p w14:paraId="02699FC3" w14:textId="77777777" w:rsidR="00661E88" w:rsidRDefault="00661E88" w:rsidP="00175B77">
      <w:pPr>
        <w:rPr>
          <w:rFonts w:ascii="Times New Roman" w:hAnsi="Times New Roman" w:cs="Times New Roman"/>
        </w:rPr>
      </w:pPr>
    </w:p>
    <w:p w14:paraId="321FAE70" w14:textId="77777777" w:rsidR="00661E88" w:rsidRDefault="00661E88" w:rsidP="00175B77">
      <w:pPr>
        <w:rPr>
          <w:rFonts w:ascii="Times New Roman" w:hAnsi="Times New Roman" w:cs="Times New Roman"/>
        </w:rPr>
      </w:pPr>
    </w:p>
    <w:p w14:paraId="6A6C0E8B" w14:textId="77777777" w:rsidR="00661E88" w:rsidRDefault="00661E88" w:rsidP="00175B77">
      <w:pPr>
        <w:rPr>
          <w:rFonts w:ascii="Times New Roman" w:hAnsi="Times New Roman" w:cs="Times New Roman"/>
        </w:rPr>
      </w:pPr>
    </w:p>
    <w:p w14:paraId="3E371ED4" w14:textId="77777777" w:rsidR="00661E88" w:rsidRDefault="00661E88" w:rsidP="00175B77">
      <w:pPr>
        <w:rPr>
          <w:rFonts w:ascii="Times New Roman" w:hAnsi="Times New Roman" w:cs="Times New Roman"/>
        </w:rPr>
      </w:pPr>
    </w:p>
    <w:p w14:paraId="66A26BAF" w14:textId="77777777" w:rsidR="00DD182D" w:rsidRPr="00DD182D" w:rsidRDefault="00DD182D" w:rsidP="00DD182D">
      <w:pPr>
        <w:keepNext/>
        <w:keepLines/>
        <w:spacing w:line="259" w:lineRule="auto"/>
        <w:outlineLvl w:val="0"/>
        <w:rPr>
          <w:rFonts w:ascii="Times New Roman" w:eastAsia="Yu Gothic Light" w:hAnsi="Times New Roman" w:cs="Times New Roman"/>
          <w:b/>
          <w:bCs/>
          <w:color w:val="002060"/>
          <w:kern w:val="2"/>
          <w:sz w:val="28"/>
          <w:szCs w:val="28"/>
          <w14:ligatures w14:val="standardContextual"/>
        </w:rPr>
      </w:pPr>
      <w:bookmarkStart w:id="0" w:name="_Toc209356533"/>
      <w:r w:rsidRPr="00DD182D">
        <w:rPr>
          <w:rFonts w:ascii="Times New Roman" w:eastAsia="Yu Gothic Light" w:hAnsi="Times New Roman" w:cs="Times New Roman"/>
          <w:b/>
          <w:bCs/>
          <w:color w:val="002060"/>
          <w:kern w:val="2"/>
          <w:sz w:val="28"/>
          <w:szCs w:val="28"/>
          <w14:ligatures w14:val="standardContextual"/>
        </w:rPr>
        <w:lastRenderedPageBreak/>
        <w:t>Executive Summary</w:t>
      </w:r>
      <w:bookmarkEnd w:id="0"/>
    </w:p>
    <w:p w14:paraId="413C5969" w14:textId="77777777" w:rsidR="0061490B" w:rsidRDefault="003E1FA0" w:rsidP="0061490B">
      <w:pPr>
        <w:pStyle w:val="pf0"/>
        <w:spacing w:before="0" w:beforeAutospacing="0"/>
        <w:rPr>
          <w:rFonts w:eastAsiaTheme="minorHAnsi"/>
          <w:sz w:val="22"/>
          <w:szCs w:val="22"/>
        </w:rPr>
      </w:pPr>
      <w:r w:rsidRPr="00813AE3">
        <w:rPr>
          <w:rFonts w:eastAsiaTheme="minorHAnsi"/>
          <w:sz w:val="22"/>
          <w:szCs w:val="22"/>
        </w:rPr>
        <w:t xml:space="preserve">The 2023 Prior Authorization Report provides a clear overview of how prior authorization works and how it affects people covered under </w:t>
      </w:r>
      <w:bookmarkStart w:id="1" w:name="_Hlk212109524"/>
      <w:r w:rsidRPr="00813AE3">
        <w:rPr>
          <w:rFonts w:eastAsiaTheme="minorHAnsi"/>
          <w:sz w:val="22"/>
          <w:szCs w:val="22"/>
        </w:rPr>
        <w:t xml:space="preserve">individual, small, and large group managed care plans </w:t>
      </w:r>
      <w:bookmarkEnd w:id="1"/>
      <w:r w:rsidRPr="00813AE3">
        <w:rPr>
          <w:rFonts w:eastAsiaTheme="minorHAnsi"/>
          <w:sz w:val="22"/>
          <w:szCs w:val="22"/>
        </w:rPr>
        <w:t>in New Mexico. The report includes data from health insurance companies under OSI’s regulatory authority that offer coverage in these markets</w:t>
      </w:r>
      <w:r w:rsidR="00EE7BEE">
        <w:rPr>
          <w:rFonts w:eastAsiaTheme="minorHAnsi"/>
          <w:sz w:val="22"/>
          <w:szCs w:val="22"/>
        </w:rPr>
        <w:t>.</w:t>
      </w:r>
    </w:p>
    <w:p w14:paraId="294F40F8" w14:textId="1289883D" w:rsidR="00661E88" w:rsidRPr="0061490B" w:rsidRDefault="00661E88" w:rsidP="0061490B">
      <w:pPr>
        <w:pStyle w:val="pf0"/>
        <w:spacing w:before="0" w:beforeAutospacing="0"/>
        <w:rPr>
          <w:rFonts w:eastAsiaTheme="minorHAnsi"/>
          <w:sz w:val="22"/>
          <w:szCs w:val="22"/>
        </w:rPr>
      </w:pPr>
      <w:r w:rsidRPr="00AE4BB6">
        <w:rPr>
          <w:sz w:val="22"/>
          <w:szCs w:val="22"/>
        </w:rPr>
        <w:t>The report shows how often prior authorization is used for different types of care like physical health, mental health, and substance use treatment. It includes the number of requests that were approved or denied, compares how quickly different health insurers respond, and highlights the procedures and medications that are most often denied</w:t>
      </w:r>
      <w:r w:rsidRPr="00264D76">
        <w:t>.</w:t>
      </w:r>
    </w:p>
    <w:p w14:paraId="607C2390" w14:textId="77777777" w:rsidR="00661E88" w:rsidRPr="00264D76" w:rsidRDefault="00661E88" w:rsidP="00661E88">
      <w:pPr>
        <w:rPr>
          <w:rFonts w:ascii="Times New Roman" w:hAnsi="Times New Roman" w:cs="Times New Roman"/>
        </w:rPr>
      </w:pPr>
      <w:r w:rsidRPr="00264D76">
        <w:rPr>
          <w:rFonts w:ascii="Times New Roman" w:hAnsi="Times New Roman" w:cs="Times New Roman"/>
        </w:rPr>
        <w:t>Eight insurance companies offered plans in the fully insured, individual, small and large group markets and submitted Prior Authorization reports to the OSI in 2023:</w:t>
      </w:r>
    </w:p>
    <w:p w14:paraId="156D315E" w14:textId="09963B5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Health Care Service Corporation</w:t>
      </w:r>
      <w:r w:rsidRPr="00530E48">
        <w:rPr>
          <w:rFonts w:ascii="Times New Roman" w:hAnsi="Times New Roman" w:cs="Times New Roman"/>
        </w:rPr>
        <w:t>*</w:t>
      </w:r>
      <w:r w:rsidR="00BC4AAB">
        <w:rPr>
          <w:rStyle w:val="FootnoteReference"/>
          <w:rFonts w:ascii="Times New Roman" w:hAnsi="Times New Roman" w:cs="Times New Roman"/>
        </w:rPr>
        <w:footnoteReference w:id="1"/>
      </w:r>
      <w:r w:rsidRPr="00264D76">
        <w:rPr>
          <w:rFonts w:ascii="Times New Roman" w:hAnsi="Times New Roman" w:cs="Times New Roman"/>
        </w:rPr>
        <w:t>, a Mutual Legal Reserve Company - BCBSNM, “BCBSNM”</w:t>
      </w:r>
    </w:p>
    <w:p w14:paraId="190BA5C3" w14:textId="46CD8F47" w:rsidR="00661E88" w:rsidRPr="00D10B1F"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Cigna Health and Life Insurance Company, “Cigna”</w:t>
      </w:r>
      <w:r w:rsidR="00A73D3A">
        <w:rPr>
          <w:rFonts w:ascii="Times New Roman" w:hAnsi="Times New Roman" w:cs="Times New Roman"/>
        </w:rPr>
        <w:t xml:space="preserve"> </w:t>
      </w:r>
      <w:r w:rsidR="00A73D3A" w:rsidRPr="00D10B1F">
        <w:rPr>
          <w:rFonts w:ascii="Times New Roman" w:hAnsi="Times New Roman" w:cs="Times New Roman"/>
        </w:rPr>
        <w:t xml:space="preserve">(Note: </w:t>
      </w:r>
      <w:r w:rsidR="002A23F6" w:rsidRPr="00D10B1F">
        <w:rPr>
          <w:rFonts w:ascii="Times New Roman" w:hAnsi="Times New Roman" w:cs="Times New Roman"/>
        </w:rPr>
        <w:t>Cigna exited the New Mexico large group health insurance market in 2022)</w:t>
      </w:r>
      <w:r w:rsidR="00C2550F" w:rsidRPr="00D10B1F">
        <w:rPr>
          <w:rStyle w:val="FootnoteReference"/>
          <w:rFonts w:ascii="Times New Roman" w:hAnsi="Times New Roman" w:cs="Times New Roman"/>
        </w:rPr>
        <w:footnoteReference w:id="2"/>
      </w:r>
    </w:p>
    <w:p w14:paraId="6EE2EFAC" w14:textId="7777777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 xml:space="preserve">Molina Healthcare of New Mexico, “Molina”          </w:t>
      </w:r>
    </w:p>
    <w:p w14:paraId="13117E6A" w14:textId="7777777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Presbyterian Health Plan, Inc. “PHP”</w:t>
      </w:r>
    </w:p>
    <w:p w14:paraId="212B75C3" w14:textId="7777777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Presbyterian Insurance Company, Inc. “PIC”</w:t>
      </w:r>
    </w:p>
    <w:p w14:paraId="1B5177BC" w14:textId="7777777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UnitedHealthcare of New Mexico, Inc., “UHCNM”</w:t>
      </w:r>
    </w:p>
    <w:p w14:paraId="1F6B1C20" w14:textId="77777777" w:rsidR="00661E88" w:rsidRPr="00264D76" w:rsidRDefault="00661E88" w:rsidP="00661E88">
      <w:pPr>
        <w:pStyle w:val="ListParagraph"/>
        <w:numPr>
          <w:ilvl w:val="0"/>
          <w:numId w:val="19"/>
        </w:numPr>
        <w:spacing w:after="0" w:line="259" w:lineRule="auto"/>
        <w:rPr>
          <w:rFonts w:ascii="Times New Roman" w:hAnsi="Times New Roman" w:cs="Times New Roman"/>
        </w:rPr>
      </w:pPr>
      <w:r w:rsidRPr="00264D76">
        <w:rPr>
          <w:rFonts w:ascii="Times New Roman" w:hAnsi="Times New Roman" w:cs="Times New Roman"/>
        </w:rPr>
        <w:t>UnitedHealthcare Insurance Company, “UHIC”</w:t>
      </w:r>
    </w:p>
    <w:p w14:paraId="284CD1E6" w14:textId="77777777" w:rsidR="007937A5" w:rsidRPr="007937A5" w:rsidRDefault="00661E88" w:rsidP="007937A5">
      <w:pPr>
        <w:pStyle w:val="ListParagraph"/>
        <w:numPr>
          <w:ilvl w:val="0"/>
          <w:numId w:val="19"/>
        </w:numPr>
        <w:rPr>
          <w:rFonts w:ascii="Times New Roman" w:hAnsi="Times New Roman" w:cs="Times New Roman"/>
        </w:rPr>
      </w:pPr>
      <w:r w:rsidRPr="007937A5">
        <w:rPr>
          <w:rFonts w:ascii="Times New Roman" w:hAnsi="Times New Roman" w:cs="Times New Roman"/>
        </w:rPr>
        <w:t>Western Sky Community Care, Inc., “WSCC”</w:t>
      </w:r>
      <w:r w:rsidR="007937A5" w:rsidRPr="007937A5">
        <w:rPr>
          <w:rFonts w:ascii="Times New Roman" w:hAnsi="Times New Roman" w:cs="Times New Roman"/>
        </w:rPr>
        <w:t xml:space="preserve"> (Note: WSCC no longer offers health insurance plans in New Mexico as of 1/1/2025).</w:t>
      </w:r>
    </w:p>
    <w:p w14:paraId="2C5E325E" w14:textId="261D3567" w:rsidR="00661E88" w:rsidRPr="00DD182D" w:rsidRDefault="00661E88" w:rsidP="007937A5">
      <w:pPr>
        <w:pStyle w:val="ListParagraph"/>
        <w:spacing w:line="259" w:lineRule="auto"/>
        <w:contextualSpacing w:val="0"/>
        <w:rPr>
          <w:rFonts w:ascii="Times New Roman" w:hAnsi="Times New Roman" w:cs="Times New Roman"/>
        </w:rPr>
      </w:pPr>
    </w:p>
    <w:p w14:paraId="34BF1531" w14:textId="77777777" w:rsidR="00661E88" w:rsidRPr="00264D76" w:rsidRDefault="00661E88" w:rsidP="00661E88">
      <w:pPr>
        <w:rPr>
          <w:rFonts w:ascii="Times New Roman" w:hAnsi="Times New Roman" w:cs="Times New Roman"/>
          <w:b/>
          <w:bCs/>
          <w:color w:val="002060"/>
          <w:u w:val="single"/>
        </w:rPr>
      </w:pPr>
      <w:r w:rsidRPr="00264D76">
        <w:rPr>
          <w:rFonts w:ascii="Times New Roman" w:hAnsi="Times New Roman" w:cs="Times New Roman"/>
          <w:b/>
          <w:bCs/>
          <w:color w:val="002060"/>
          <w:u w:val="single"/>
        </w:rPr>
        <w:t>Key findings for the 2023 calendar year include:</w:t>
      </w:r>
    </w:p>
    <w:p w14:paraId="219CD8DC" w14:textId="77777777" w:rsidR="00661E88" w:rsidRPr="00264D76" w:rsidRDefault="00661E88" w:rsidP="00DD182D">
      <w:pPr>
        <w:numPr>
          <w:ilvl w:val="0"/>
          <w:numId w:val="18"/>
        </w:numPr>
        <w:spacing w:after="80" w:line="259" w:lineRule="auto"/>
        <w:rPr>
          <w:rFonts w:ascii="Times New Roman" w:hAnsi="Times New Roman" w:cs="Times New Roman"/>
        </w:rPr>
      </w:pPr>
      <w:r w:rsidRPr="00264D76">
        <w:rPr>
          <w:rFonts w:ascii="Times New Roman" w:hAnsi="Times New Roman" w:cs="Times New Roman"/>
        </w:rPr>
        <w:t>Four health insurance companies offered individual and family plans: BCBSNM, Molina, PHP and WSCC.    </w:t>
      </w:r>
    </w:p>
    <w:p w14:paraId="19384485" w14:textId="77777777" w:rsidR="00661E88" w:rsidRPr="00264D76" w:rsidRDefault="00661E88" w:rsidP="00DD182D">
      <w:pPr>
        <w:numPr>
          <w:ilvl w:val="0"/>
          <w:numId w:val="18"/>
        </w:numPr>
        <w:spacing w:after="80" w:line="259" w:lineRule="auto"/>
        <w:rPr>
          <w:rFonts w:ascii="Times New Roman" w:hAnsi="Times New Roman" w:cs="Times New Roman"/>
        </w:rPr>
      </w:pPr>
      <w:r w:rsidRPr="00264D76">
        <w:rPr>
          <w:rFonts w:ascii="Times New Roman" w:hAnsi="Times New Roman" w:cs="Times New Roman"/>
        </w:rPr>
        <w:t>Five health insurance companies offered Small Group Plans: BCBSNM, PHP, PIC, UHCNM, UHIC.</w:t>
      </w:r>
    </w:p>
    <w:p w14:paraId="1EA95891" w14:textId="77777777" w:rsidR="00661E88" w:rsidRPr="00264D76" w:rsidRDefault="00661E88" w:rsidP="00DD182D">
      <w:pPr>
        <w:numPr>
          <w:ilvl w:val="0"/>
          <w:numId w:val="18"/>
        </w:numPr>
        <w:spacing w:after="80" w:line="259" w:lineRule="auto"/>
        <w:rPr>
          <w:rFonts w:ascii="Times New Roman" w:hAnsi="Times New Roman" w:cs="Times New Roman"/>
        </w:rPr>
      </w:pPr>
      <w:r w:rsidRPr="00264D76">
        <w:rPr>
          <w:rFonts w:ascii="Times New Roman" w:hAnsi="Times New Roman" w:cs="Times New Roman"/>
        </w:rPr>
        <w:t>Six health insurance companies offered Large Group Plans: BCBSNM, Cigna, PHP, PIC, UHCNM, and UHIC.</w:t>
      </w:r>
    </w:p>
    <w:p w14:paraId="61B779A2" w14:textId="71C66FC6" w:rsidR="00661E88" w:rsidRPr="00264D76" w:rsidRDefault="00661E88" w:rsidP="00DD182D">
      <w:pPr>
        <w:numPr>
          <w:ilvl w:val="0"/>
          <w:numId w:val="18"/>
        </w:numPr>
        <w:spacing w:after="80" w:line="259" w:lineRule="auto"/>
        <w:rPr>
          <w:rFonts w:ascii="Times New Roman" w:hAnsi="Times New Roman" w:cs="Times New Roman"/>
        </w:rPr>
      </w:pPr>
      <w:r w:rsidRPr="00264D76">
        <w:rPr>
          <w:rFonts w:ascii="Times New Roman" w:hAnsi="Times New Roman" w:cs="Times New Roman"/>
        </w:rPr>
        <w:t>Volume of Prior Authorizations: BCBSNM and PHP, had the highest membership and highest volume</w:t>
      </w:r>
      <w:r w:rsidR="00190865">
        <w:rPr>
          <w:rFonts w:ascii="Times New Roman" w:hAnsi="Times New Roman" w:cs="Times New Roman"/>
        </w:rPr>
        <w:t>.</w:t>
      </w:r>
      <w:r w:rsidRPr="00264D76">
        <w:rPr>
          <w:rFonts w:ascii="Times New Roman" w:hAnsi="Times New Roman" w:cs="Times New Roman"/>
        </w:rPr>
        <w:t xml:space="preserve"> </w:t>
      </w:r>
    </w:p>
    <w:p w14:paraId="56C21637" w14:textId="77777777" w:rsidR="00661E88" w:rsidRPr="00264D76" w:rsidRDefault="00661E88" w:rsidP="007D0459">
      <w:pPr>
        <w:pStyle w:val="ListParagraph"/>
        <w:numPr>
          <w:ilvl w:val="0"/>
          <w:numId w:val="18"/>
        </w:numPr>
        <w:spacing w:after="100" w:line="240" w:lineRule="auto"/>
        <w:contextualSpacing w:val="0"/>
        <w:rPr>
          <w:rFonts w:ascii="Times New Roman" w:hAnsi="Times New Roman" w:cs="Times New Roman"/>
        </w:rPr>
      </w:pPr>
      <w:r w:rsidRPr="00264D76">
        <w:rPr>
          <w:rFonts w:ascii="Times New Roman" w:hAnsi="Times New Roman" w:cs="Times New Roman"/>
        </w:rPr>
        <w:t>Denial Rates for Inpatient, Outpatient and Pharmacy Services:</w:t>
      </w:r>
    </w:p>
    <w:p w14:paraId="6EDB1811" w14:textId="64CDC427" w:rsidR="00661E88" w:rsidRPr="00264D76" w:rsidRDefault="00661E88" w:rsidP="007D0459">
      <w:pPr>
        <w:pStyle w:val="ListParagraph"/>
        <w:numPr>
          <w:ilvl w:val="2"/>
          <w:numId w:val="18"/>
        </w:numPr>
        <w:spacing w:after="80" w:line="240" w:lineRule="auto"/>
        <w:contextualSpacing w:val="0"/>
        <w:rPr>
          <w:rFonts w:ascii="Times New Roman" w:hAnsi="Times New Roman" w:cs="Times New Roman"/>
        </w:rPr>
      </w:pPr>
      <w:r w:rsidRPr="00264D76">
        <w:rPr>
          <w:rFonts w:ascii="Times New Roman" w:hAnsi="Times New Roman" w:cs="Times New Roman"/>
        </w:rPr>
        <w:t>5.5% to 4</w:t>
      </w:r>
      <w:r w:rsidR="00E274A7">
        <w:rPr>
          <w:rFonts w:ascii="Times New Roman" w:hAnsi="Times New Roman" w:cs="Times New Roman"/>
        </w:rPr>
        <w:t>6</w:t>
      </w:r>
      <w:r w:rsidRPr="00264D76">
        <w:rPr>
          <w:rFonts w:ascii="Times New Roman" w:hAnsi="Times New Roman" w:cs="Times New Roman"/>
        </w:rPr>
        <w:t>.</w:t>
      </w:r>
      <w:r w:rsidR="00E274A7">
        <w:rPr>
          <w:rFonts w:ascii="Times New Roman" w:hAnsi="Times New Roman" w:cs="Times New Roman"/>
        </w:rPr>
        <w:t>8</w:t>
      </w:r>
      <w:r w:rsidRPr="00264D76">
        <w:rPr>
          <w:rFonts w:ascii="Times New Roman" w:hAnsi="Times New Roman" w:cs="Times New Roman"/>
        </w:rPr>
        <w:t xml:space="preserve">% for physical health </w:t>
      </w:r>
    </w:p>
    <w:p w14:paraId="66372714" w14:textId="05C846E6" w:rsidR="00661E88" w:rsidRPr="00264D76" w:rsidRDefault="00661E88" w:rsidP="007D0459">
      <w:pPr>
        <w:pStyle w:val="ListParagraph"/>
        <w:numPr>
          <w:ilvl w:val="2"/>
          <w:numId w:val="18"/>
        </w:numPr>
        <w:spacing w:after="80" w:line="240" w:lineRule="auto"/>
        <w:contextualSpacing w:val="0"/>
        <w:rPr>
          <w:rFonts w:ascii="Times New Roman" w:hAnsi="Times New Roman" w:cs="Times New Roman"/>
        </w:rPr>
      </w:pPr>
      <w:r w:rsidRPr="00264D76">
        <w:rPr>
          <w:rFonts w:ascii="Times New Roman" w:hAnsi="Times New Roman" w:cs="Times New Roman"/>
        </w:rPr>
        <w:t>0.9% to 54.</w:t>
      </w:r>
      <w:r w:rsidR="00E274A7">
        <w:rPr>
          <w:rFonts w:ascii="Times New Roman" w:hAnsi="Times New Roman" w:cs="Times New Roman"/>
        </w:rPr>
        <w:t>8</w:t>
      </w:r>
      <w:r w:rsidRPr="00264D76">
        <w:rPr>
          <w:rFonts w:ascii="Times New Roman" w:hAnsi="Times New Roman" w:cs="Times New Roman"/>
        </w:rPr>
        <w:t xml:space="preserve">% for mental health substance use disorder treatment,  </w:t>
      </w:r>
    </w:p>
    <w:p w14:paraId="6CE32179" w14:textId="77777777" w:rsidR="00661E88" w:rsidRPr="00264D76" w:rsidRDefault="00661E88" w:rsidP="007D0459">
      <w:pPr>
        <w:pStyle w:val="ListParagraph"/>
        <w:numPr>
          <w:ilvl w:val="1"/>
          <w:numId w:val="18"/>
        </w:numPr>
        <w:spacing w:before="120" w:after="80" w:line="240" w:lineRule="auto"/>
        <w:contextualSpacing w:val="0"/>
        <w:rPr>
          <w:rFonts w:ascii="Times New Roman" w:hAnsi="Times New Roman" w:cs="Times New Roman"/>
        </w:rPr>
      </w:pPr>
      <w:r w:rsidRPr="00264D76">
        <w:rPr>
          <w:rFonts w:ascii="Times New Roman" w:hAnsi="Times New Roman" w:cs="Times New Roman"/>
        </w:rPr>
        <w:lastRenderedPageBreak/>
        <w:t xml:space="preserve">Inpatient and outpatient treatment was denied more frequently under physical health services than mental health and substance use disorder. </w:t>
      </w:r>
    </w:p>
    <w:p w14:paraId="60881EC8" w14:textId="77777777" w:rsidR="00661E88" w:rsidRPr="00264D76" w:rsidRDefault="00661E88" w:rsidP="00264D76">
      <w:pPr>
        <w:pStyle w:val="ListParagraph"/>
        <w:numPr>
          <w:ilvl w:val="1"/>
          <w:numId w:val="18"/>
        </w:numPr>
        <w:spacing w:before="240" w:after="120" w:line="259" w:lineRule="auto"/>
        <w:rPr>
          <w:rFonts w:ascii="Times New Roman" w:hAnsi="Times New Roman" w:cs="Times New Roman"/>
        </w:rPr>
      </w:pPr>
      <w:r w:rsidRPr="00264D76">
        <w:rPr>
          <w:rFonts w:ascii="Times New Roman" w:hAnsi="Times New Roman" w:cs="Times New Roman"/>
        </w:rPr>
        <w:t>Denial rates were higher for prescription drugs used to treat mental health and substance use disorders than for those used to treat physical health conditions.</w:t>
      </w:r>
    </w:p>
    <w:p w14:paraId="6111DA5C" w14:textId="77777777" w:rsidR="00661E88" w:rsidRPr="00264D76" w:rsidRDefault="00661E88" w:rsidP="007D0459">
      <w:pPr>
        <w:numPr>
          <w:ilvl w:val="0"/>
          <w:numId w:val="18"/>
        </w:numPr>
        <w:spacing w:after="120" w:line="259" w:lineRule="auto"/>
        <w:rPr>
          <w:rFonts w:ascii="Times New Roman" w:hAnsi="Times New Roman" w:cs="Times New Roman"/>
        </w:rPr>
      </w:pPr>
      <w:r w:rsidRPr="00264D76">
        <w:rPr>
          <w:rFonts w:ascii="Times New Roman" w:hAnsi="Times New Roman" w:cs="Times New Roman"/>
        </w:rPr>
        <w:t xml:space="preserve">Approval Rates: </w:t>
      </w:r>
    </w:p>
    <w:p w14:paraId="04F2F75B" w14:textId="70F53B57" w:rsidR="00661E88" w:rsidRPr="00264D76" w:rsidRDefault="00661E88" w:rsidP="00661E88">
      <w:pPr>
        <w:pStyle w:val="ListParagraph"/>
        <w:numPr>
          <w:ilvl w:val="1"/>
          <w:numId w:val="18"/>
        </w:numPr>
        <w:spacing w:after="160" w:line="259" w:lineRule="auto"/>
        <w:rPr>
          <w:rFonts w:ascii="Times New Roman" w:hAnsi="Times New Roman" w:cs="Times New Roman"/>
        </w:rPr>
      </w:pPr>
      <w:r w:rsidRPr="00264D76">
        <w:rPr>
          <w:rFonts w:ascii="Times New Roman" w:hAnsi="Times New Roman" w:cs="Times New Roman"/>
        </w:rPr>
        <w:t>Approval rates were higher overall for mental health/substance use disorder treatment than physical health services in 2023</w:t>
      </w:r>
      <w:r w:rsidR="00EC50A3">
        <w:rPr>
          <w:rFonts w:ascii="Times New Roman" w:hAnsi="Times New Roman" w:cs="Times New Roman"/>
        </w:rPr>
        <w:t>.</w:t>
      </w:r>
      <w:r w:rsidRPr="00264D76">
        <w:rPr>
          <w:rFonts w:ascii="Times New Roman" w:hAnsi="Times New Roman" w:cs="Times New Roman"/>
        </w:rPr>
        <w:t xml:space="preserve"> </w:t>
      </w:r>
    </w:p>
    <w:p w14:paraId="7808222A" w14:textId="12B852E2" w:rsidR="00661E88" w:rsidRPr="00264D76" w:rsidRDefault="00661E88" w:rsidP="00661E88">
      <w:pPr>
        <w:pStyle w:val="ListParagraph"/>
        <w:numPr>
          <w:ilvl w:val="1"/>
          <w:numId w:val="18"/>
        </w:numPr>
        <w:spacing w:after="160" w:line="259" w:lineRule="auto"/>
        <w:rPr>
          <w:rFonts w:ascii="Times New Roman" w:hAnsi="Times New Roman" w:cs="Times New Roman"/>
        </w:rPr>
      </w:pPr>
      <w:r w:rsidRPr="00264D76">
        <w:rPr>
          <w:rFonts w:ascii="Times New Roman" w:hAnsi="Times New Roman" w:cs="Times New Roman"/>
        </w:rPr>
        <w:t>BCBSNM had the highest overall approval rate at 81%</w:t>
      </w:r>
      <w:r w:rsidR="00EC50A3">
        <w:rPr>
          <w:rFonts w:ascii="Times New Roman" w:hAnsi="Times New Roman" w:cs="Times New Roman"/>
        </w:rPr>
        <w:t>.</w:t>
      </w:r>
    </w:p>
    <w:p w14:paraId="71A26DDA" w14:textId="1D3130A1" w:rsidR="00DD182D" w:rsidRPr="00DD182D" w:rsidRDefault="00661E88" w:rsidP="00DD182D">
      <w:pPr>
        <w:pStyle w:val="ListParagraph"/>
        <w:numPr>
          <w:ilvl w:val="1"/>
          <w:numId w:val="18"/>
        </w:numPr>
        <w:spacing w:after="160" w:line="259" w:lineRule="auto"/>
        <w:rPr>
          <w:rFonts w:ascii="Times New Roman" w:hAnsi="Times New Roman" w:cs="Times New Roman"/>
        </w:rPr>
      </w:pPr>
      <w:r w:rsidRPr="00264D76">
        <w:rPr>
          <w:rFonts w:ascii="Times New Roman" w:hAnsi="Times New Roman" w:cs="Times New Roman"/>
        </w:rPr>
        <w:t xml:space="preserve">UHCNM had the lowest overall approval rate at 53%. </w:t>
      </w:r>
    </w:p>
    <w:p w14:paraId="6C634A2A" w14:textId="6EA66620" w:rsidR="00661E88" w:rsidRPr="00F53637" w:rsidRDefault="00661E88" w:rsidP="00F53637">
      <w:pPr>
        <w:numPr>
          <w:ilvl w:val="0"/>
          <w:numId w:val="18"/>
        </w:numPr>
        <w:spacing w:after="160" w:line="259" w:lineRule="auto"/>
        <w:rPr>
          <w:rFonts w:ascii="Times New Roman" w:hAnsi="Times New Roman" w:cs="Times New Roman"/>
        </w:rPr>
      </w:pPr>
      <w:r w:rsidRPr="00264D76">
        <w:rPr>
          <w:rFonts w:ascii="Times New Roman" w:hAnsi="Times New Roman" w:cs="Times New Roman"/>
        </w:rPr>
        <w:t xml:space="preserve">Timeliness: New Mexico regulations set clear deadlines for how long insurance companies can take to decide on a prior authorization request. </w:t>
      </w:r>
      <w:r w:rsidR="00F53637" w:rsidRPr="00217D87">
        <w:rPr>
          <w:rFonts w:ascii="Times New Roman" w:hAnsi="Times New Roman" w:cs="Times New Roman"/>
        </w:rPr>
        <w:t>New Mexico regulations establish clear deadlines for insurers to make determinations on prior authorization requests. Using these statutory timelines, as outlined in the table below, OSI calculated each carrier’s compliance rate.</w:t>
      </w:r>
    </w:p>
    <w:tbl>
      <w:tblPr>
        <w:tblStyle w:val="TableGrid"/>
        <w:tblW w:w="0" w:type="auto"/>
        <w:tblInd w:w="445" w:type="dxa"/>
        <w:tblLook w:val="04A0" w:firstRow="1" w:lastRow="0" w:firstColumn="1" w:lastColumn="0" w:noHBand="0" w:noVBand="1"/>
      </w:tblPr>
      <w:tblGrid>
        <w:gridCol w:w="5710"/>
        <w:gridCol w:w="3600"/>
      </w:tblGrid>
      <w:tr w:rsidR="00BF67F3" w:rsidRPr="007D0459" w14:paraId="4904D97D" w14:textId="77777777" w:rsidTr="0032775F">
        <w:trPr>
          <w:trHeight w:val="210"/>
        </w:trPr>
        <w:tc>
          <w:tcPr>
            <w:tcW w:w="5710" w:type="dxa"/>
            <w:vAlign w:val="center"/>
          </w:tcPr>
          <w:p w14:paraId="3582753B" w14:textId="77777777" w:rsidR="00BF67F3" w:rsidRPr="007D0459" w:rsidRDefault="00BF67F3" w:rsidP="00086E3F">
            <w:pPr>
              <w:spacing w:after="200" w:line="276" w:lineRule="auto"/>
              <w:jc w:val="center"/>
              <w:rPr>
                <w:rFonts w:ascii="Times New Roman" w:hAnsi="Times New Roman" w:cs="Times New Roman"/>
                <w:b/>
              </w:rPr>
            </w:pPr>
            <w:r w:rsidRPr="007D0459">
              <w:rPr>
                <w:rFonts w:ascii="Times New Roman" w:hAnsi="Times New Roman" w:cs="Times New Roman"/>
                <w:b/>
              </w:rPr>
              <w:t>Prior Authorization Type</w:t>
            </w:r>
          </w:p>
        </w:tc>
        <w:tc>
          <w:tcPr>
            <w:tcW w:w="3600" w:type="dxa"/>
            <w:vAlign w:val="center"/>
          </w:tcPr>
          <w:p w14:paraId="68D8320C" w14:textId="77777777" w:rsidR="00BF67F3" w:rsidRPr="007D0459" w:rsidRDefault="00BF67F3" w:rsidP="00086E3F">
            <w:pPr>
              <w:spacing w:after="200" w:line="276" w:lineRule="auto"/>
              <w:jc w:val="center"/>
              <w:rPr>
                <w:rFonts w:ascii="Times New Roman" w:hAnsi="Times New Roman" w:cs="Times New Roman"/>
                <w:b/>
              </w:rPr>
            </w:pPr>
            <w:r w:rsidRPr="007D0459">
              <w:rPr>
                <w:rFonts w:ascii="Times New Roman" w:hAnsi="Times New Roman" w:cs="Times New Roman"/>
                <w:b/>
              </w:rPr>
              <w:t>Number of days/hours</w:t>
            </w:r>
          </w:p>
        </w:tc>
      </w:tr>
      <w:tr w:rsidR="00BF67F3" w:rsidRPr="007D0459" w14:paraId="1CECFDBE" w14:textId="77777777" w:rsidTr="0032775F">
        <w:trPr>
          <w:trHeight w:val="219"/>
        </w:trPr>
        <w:tc>
          <w:tcPr>
            <w:tcW w:w="5710" w:type="dxa"/>
            <w:vAlign w:val="center"/>
          </w:tcPr>
          <w:p w14:paraId="5A187629" w14:textId="0885F9CD"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 xml:space="preserve">Medical </w:t>
            </w:r>
            <w:r w:rsidR="000F12F0" w:rsidRPr="003C5229">
              <w:rPr>
                <w:rFonts w:ascii="Times New Roman" w:eastAsia="Times New Roman" w:hAnsi="Times New Roman" w:cs="Times New Roman"/>
                <w:color w:val="000000"/>
                <w:sz w:val="20"/>
                <w:szCs w:val="20"/>
              </w:rPr>
              <w:t>non-urgent</w:t>
            </w:r>
          </w:p>
        </w:tc>
        <w:tc>
          <w:tcPr>
            <w:tcW w:w="3600" w:type="dxa"/>
            <w:vAlign w:val="center"/>
          </w:tcPr>
          <w:p w14:paraId="7779F65B"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7 days</w:t>
            </w:r>
          </w:p>
        </w:tc>
      </w:tr>
      <w:tr w:rsidR="00BF67F3" w:rsidRPr="007D0459" w14:paraId="2300E061" w14:textId="77777777" w:rsidTr="0032775F">
        <w:trPr>
          <w:trHeight w:val="210"/>
        </w:trPr>
        <w:tc>
          <w:tcPr>
            <w:tcW w:w="5710" w:type="dxa"/>
            <w:vAlign w:val="center"/>
          </w:tcPr>
          <w:p w14:paraId="4ACF1F17"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Medical Urgent/Expedited</w:t>
            </w:r>
          </w:p>
        </w:tc>
        <w:tc>
          <w:tcPr>
            <w:tcW w:w="3600" w:type="dxa"/>
            <w:vAlign w:val="center"/>
          </w:tcPr>
          <w:p w14:paraId="06E8909F"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24 hours</w:t>
            </w:r>
          </w:p>
        </w:tc>
      </w:tr>
      <w:tr w:rsidR="00BF67F3" w:rsidRPr="007D0459" w14:paraId="02FE509C" w14:textId="77777777" w:rsidTr="0032775F">
        <w:trPr>
          <w:trHeight w:val="210"/>
        </w:trPr>
        <w:tc>
          <w:tcPr>
            <w:tcW w:w="5710" w:type="dxa"/>
            <w:vAlign w:val="center"/>
          </w:tcPr>
          <w:p w14:paraId="73ACC10D"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Prescription Drugs Non-Urgent</w:t>
            </w:r>
          </w:p>
        </w:tc>
        <w:tc>
          <w:tcPr>
            <w:tcW w:w="3600" w:type="dxa"/>
            <w:vAlign w:val="center"/>
          </w:tcPr>
          <w:p w14:paraId="45770B6E"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3 days</w:t>
            </w:r>
          </w:p>
        </w:tc>
      </w:tr>
      <w:tr w:rsidR="00BF67F3" w:rsidRPr="007D0459" w14:paraId="5FAA9740" w14:textId="77777777" w:rsidTr="0032775F">
        <w:trPr>
          <w:trHeight w:val="210"/>
        </w:trPr>
        <w:tc>
          <w:tcPr>
            <w:tcW w:w="5710" w:type="dxa"/>
            <w:vAlign w:val="center"/>
          </w:tcPr>
          <w:p w14:paraId="71671562"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Prescription Drugs Urgent/Expedited</w:t>
            </w:r>
          </w:p>
        </w:tc>
        <w:tc>
          <w:tcPr>
            <w:tcW w:w="3600" w:type="dxa"/>
            <w:vAlign w:val="center"/>
          </w:tcPr>
          <w:p w14:paraId="1AAC50F5" w14:textId="77777777" w:rsidR="00BF67F3" w:rsidRPr="003C5229" w:rsidRDefault="00BF67F3" w:rsidP="00086E3F">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24 hours</w:t>
            </w:r>
          </w:p>
        </w:tc>
      </w:tr>
    </w:tbl>
    <w:p w14:paraId="7B89B6BF" w14:textId="77777777" w:rsidR="00275D38" w:rsidRPr="00264D76" w:rsidRDefault="00275D38" w:rsidP="00BF67F3">
      <w:pPr>
        <w:spacing w:after="160" w:line="259" w:lineRule="auto"/>
        <w:ind w:left="720"/>
        <w:rPr>
          <w:rFonts w:ascii="Times New Roman" w:hAnsi="Times New Roman" w:cs="Times New Roman"/>
        </w:rPr>
      </w:pPr>
    </w:p>
    <w:p w14:paraId="3821285E" w14:textId="77777777" w:rsidR="00661E88" w:rsidRPr="00264D76" w:rsidRDefault="00661E88" w:rsidP="00774043">
      <w:pPr>
        <w:numPr>
          <w:ilvl w:val="1"/>
          <w:numId w:val="18"/>
        </w:numPr>
        <w:spacing w:after="80" w:line="259" w:lineRule="auto"/>
        <w:rPr>
          <w:rFonts w:ascii="Times New Roman" w:hAnsi="Times New Roman" w:cs="Times New Roman"/>
        </w:rPr>
      </w:pPr>
      <w:r w:rsidRPr="00264D76">
        <w:rPr>
          <w:rFonts w:ascii="Times New Roman" w:hAnsi="Times New Roman" w:cs="Times New Roman"/>
        </w:rPr>
        <w:t xml:space="preserve">BCBSNM met the timeliness standards for non-urgent physical health requests, but they took longer than the </w:t>
      </w:r>
      <w:bookmarkStart w:id="2" w:name="_Hlk209107313"/>
      <w:r w:rsidRPr="00264D76">
        <w:rPr>
          <w:rFonts w:ascii="Times New Roman" w:hAnsi="Times New Roman" w:cs="Times New Roman"/>
        </w:rPr>
        <w:t xml:space="preserve">statutory </w:t>
      </w:r>
      <w:bookmarkEnd w:id="2"/>
      <w:r w:rsidRPr="00264D76">
        <w:rPr>
          <w:rFonts w:ascii="Times New Roman" w:hAnsi="Times New Roman" w:cs="Times New Roman"/>
        </w:rPr>
        <w:t>requirements to respond to urgent requests and prescription drug requests.</w:t>
      </w:r>
    </w:p>
    <w:p w14:paraId="6B166268" w14:textId="5FB30DAD" w:rsidR="00661E88" w:rsidRPr="00264D76" w:rsidRDefault="00661E88" w:rsidP="00774043">
      <w:pPr>
        <w:numPr>
          <w:ilvl w:val="1"/>
          <w:numId w:val="18"/>
        </w:numPr>
        <w:spacing w:after="80" w:line="259" w:lineRule="auto"/>
        <w:rPr>
          <w:rFonts w:ascii="Times New Roman" w:hAnsi="Times New Roman" w:cs="Times New Roman"/>
        </w:rPr>
      </w:pPr>
      <w:r w:rsidRPr="00264D76">
        <w:rPr>
          <w:rFonts w:ascii="Times New Roman" w:hAnsi="Times New Roman" w:cs="Times New Roman"/>
        </w:rPr>
        <w:t xml:space="preserve">WSCC was an outlier in responding to </w:t>
      </w:r>
      <w:proofErr w:type="gramStart"/>
      <w:r w:rsidRPr="00264D76">
        <w:rPr>
          <w:rFonts w:ascii="Times New Roman" w:hAnsi="Times New Roman" w:cs="Times New Roman"/>
        </w:rPr>
        <w:t>medical prior</w:t>
      </w:r>
      <w:proofErr w:type="gramEnd"/>
      <w:r w:rsidRPr="00264D76">
        <w:rPr>
          <w:rFonts w:ascii="Times New Roman" w:hAnsi="Times New Roman" w:cs="Times New Roman"/>
        </w:rPr>
        <w:t xml:space="preserve"> authorization requests compared to</w:t>
      </w:r>
      <w:r w:rsidR="004F6640">
        <w:rPr>
          <w:rFonts w:ascii="Times New Roman" w:hAnsi="Times New Roman" w:cs="Times New Roman"/>
        </w:rPr>
        <w:t xml:space="preserve"> other</w:t>
      </w:r>
      <w:r w:rsidRPr="00264D76">
        <w:rPr>
          <w:rFonts w:ascii="Times New Roman" w:hAnsi="Times New Roman" w:cs="Times New Roman"/>
        </w:rPr>
        <w:t xml:space="preserve"> </w:t>
      </w:r>
      <w:r w:rsidR="00FF3494">
        <w:rPr>
          <w:rFonts w:ascii="Times New Roman" w:hAnsi="Times New Roman" w:cs="Times New Roman"/>
        </w:rPr>
        <w:t xml:space="preserve">health care </w:t>
      </w:r>
      <w:r w:rsidR="00190865">
        <w:rPr>
          <w:rFonts w:ascii="Times New Roman" w:hAnsi="Times New Roman" w:cs="Times New Roman"/>
        </w:rPr>
        <w:t xml:space="preserve">insurers </w:t>
      </w:r>
    </w:p>
    <w:p w14:paraId="54CA1BD4" w14:textId="000B1821" w:rsidR="00661E88" w:rsidRPr="00264D76" w:rsidRDefault="00661E88" w:rsidP="00661E88">
      <w:pPr>
        <w:numPr>
          <w:ilvl w:val="1"/>
          <w:numId w:val="18"/>
        </w:numPr>
        <w:spacing w:after="160" w:line="259" w:lineRule="auto"/>
        <w:rPr>
          <w:rFonts w:ascii="Times New Roman" w:hAnsi="Times New Roman" w:cs="Times New Roman"/>
        </w:rPr>
      </w:pPr>
      <w:r w:rsidRPr="00264D76">
        <w:rPr>
          <w:rFonts w:ascii="Times New Roman" w:hAnsi="Times New Roman" w:cs="Times New Roman"/>
        </w:rPr>
        <w:t xml:space="preserve">Cigna took longer than others, on average, </w:t>
      </w:r>
      <w:r w:rsidR="002176BB">
        <w:rPr>
          <w:rFonts w:ascii="Times New Roman" w:hAnsi="Times New Roman" w:cs="Times New Roman"/>
        </w:rPr>
        <w:t>in responding</w:t>
      </w:r>
      <w:r w:rsidRPr="00264D76">
        <w:rPr>
          <w:rFonts w:ascii="Times New Roman" w:hAnsi="Times New Roman" w:cs="Times New Roman"/>
        </w:rPr>
        <w:t xml:space="preserve"> to </w:t>
      </w:r>
      <w:proofErr w:type="gramStart"/>
      <w:r w:rsidRPr="00264D76">
        <w:rPr>
          <w:rFonts w:ascii="Times New Roman" w:hAnsi="Times New Roman" w:cs="Times New Roman"/>
        </w:rPr>
        <w:t>pharmacy prior authorization</w:t>
      </w:r>
      <w:proofErr w:type="gramEnd"/>
      <w:r w:rsidRPr="00264D76">
        <w:rPr>
          <w:rFonts w:ascii="Times New Roman" w:hAnsi="Times New Roman" w:cs="Times New Roman"/>
        </w:rPr>
        <w:t xml:space="preserve"> requests</w:t>
      </w:r>
      <w:r w:rsidR="00EC50A3">
        <w:rPr>
          <w:rFonts w:ascii="Times New Roman" w:hAnsi="Times New Roman" w:cs="Times New Roman"/>
        </w:rPr>
        <w:t>.</w:t>
      </w:r>
    </w:p>
    <w:p w14:paraId="689A6B28" w14:textId="77777777" w:rsidR="00661E88" w:rsidRPr="00264D76" w:rsidRDefault="00661E88" w:rsidP="00661E88">
      <w:pPr>
        <w:numPr>
          <w:ilvl w:val="0"/>
          <w:numId w:val="18"/>
        </w:numPr>
        <w:spacing w:after="160" w:line="259" w:lineRule="auto"/>
        <w:rPr>
          <w:rFonts w:ascii="Times New Roman" w:hAnsi="Times New Roman" w:cs="Times New Roman"/>
        </w:rPr>
      </w:pPr>
      <w:r w:rsidRPr="00264D76">
        <w:rPr>
          <w:rFonts w:ascii="Times New Roman" w:hAnsi="Times New Roman" w:cs="Times New Roman"/>
        </w:rPr>
        <w:t xml:space="preserve">Pharmacy Specific Authorization Statistics:  </w:t>
      </w:r>
    </w:p>
    <w:p w14:paraId="070DC0E4" w14:textId="09EA8001" w:rsidR="00661E88" w:rsidRPr="00264D76" w:rsidRDefault="00661E88" w:rsidP="00774043">
      <w:pPr>
        <w:numPr>
          <w:ilvl w:val="1"/>
          <w:numId w:val="18"/>
        </w:numPr>
        <w:spacing w:after="80" w:line="259" w:lineRule="auto"/>
        <w:rPr>
          <w:rFonts w:ascii="Times New Roman" w:hAnsi="Times New Roman" w:cs="Times New Roman"/>
        </w:rPr>
      </w:pPr>
      <w:r w:rsidRPr="00264D76">
        <w:rPr>
          <w:rFonts w:ascii="Times New Roman" w:hAnsi="Times New Roman" w:cs="Times New Roman"/>
        </w:rPr>
        <w:t>Step therapy exception denial rates ranged from 13% to 88%</w:t>
      </w:r>
      <w:r w:rsidR="00EC50A3">
        <w:rPr>
          <w:rFonts w:ascii="Times New Roman" w:hAnsi="Times New Roman" w:cs="Times New Roman"/>
        </w:rPr>
        <w:t>.</w:t>
      </w:r>
    </w:p>
    <w:p w14:paraId="35AD98C3" w14:textId="043D6E00" w:rsidR="00661E88" w:rsidRPr="00264D76" w:rsidRDefault="00661E88" w:rsidP="00774043">
      <w:pPr>
        <w:numPr>
          <w:ilvl w:val="1"/>
          <w:numId w:val="18"/>
        </w:numPr>
        <w:spacing w:after="80" w:line="259" w:lineRule="auto"/>
        <w:rPr>
          <w:rFonts w:ascii="Times New Roman" w:hAnsi="Times New Roman" w:cs="Times New Roman"/>
        </w:rPr>
      </w:pPr>
      <w:r w:rsidRPr="00264D76">
        <w:rPr>
          <w:rFonts w:ascii="Times New Roman" w:hAnsi="Times New Roman" w:cs="Times New Roman"/>
        </w:rPr>
        <w:t>Drug formulary exception denial rates were higher, ranging from 32% to 100%</w:t>
      </w:r>
      <w:r w:rsidR="00EC50A3">
        <w:rPr>
          <w:rFonts w:ascii="Times New Roman" w:hAnsi="Times New Roman" w:cs="Times New Roman"/>
        </w:rPr>
        <w:t>.</w:t>
      </w:r>
    </w:p>
    <w:p w14:paraId="5FCA3194" w14:textId="77777777" w:rsidR="00661E88" w:rsidRPr="00264D76" w:rsidRDefault="00661E88" w:rsidP="00661E88">
      <w:pPr>
        <w:pStyle w:val="ListParagraph"/>
        <w:numPr>
          <w:ilvl w:val="1"/>
          <w:numId w:val="18"/>
        </w:numPr>
        <w:spacing w:after="160" w:line="259" w:lineRule="auto"/>
        <w:rPr>
          <w:rFonts w:ascii="Times New Roman" w:hAnsi="Times New Roman" w:cs="Times New Roman"/>
        </w:rPr>
      </w:pPr>
      <w:r w:rsidRPr="00264D76">
        <w:rPr>
          <w:rFonts w:ascii="Times New Roman" w:hAnsi="Times New Roman" w:cs="Times New Roman"/>
        </w:rPr>
        <w:t>WSCC and Cigna had the highest denial rates for step therapy and formulary requests, respectively, they also had the smallest volume of requests.</w:t>
      </w:r>
    </w:p>
    <w:p w14:paraId="587AFA68" w14:textId="263F3EF6" w:rsidR="00AD26B7" w:rsidRDefault="00661E88" w:rsidP="00AD26B7">
      <w:pPr>
        <w:rPr>
          <w:rFonts w:ascii="Times New Roman" w:hAnsi="Times New Roman" w:cs="Times New Roman"/>
        </w:rPr>
      </w:pPr>
      <w:r w:rsidRPr="00264D76">
        <w:rPr>
          <w:rFonts w:ascii="Times New Roman" w:hAnsi="Times New Roman" w:cs="Times New Roman"/>
        </w:rPr>
        <w:t xml:space="preserve">The report highlights the importance of adherence to state regulations and the variability in </w:t>
      </w:r>
      <w:r w:rsidR="004F6640">
        <w:rPr>
          <w:rFonts w:ascii="Times New Roman" w:hAnsi="Times New Roman" w:cs="Times New Roman"/>
        </w:rPr>
        <w:t xml:space="preserve">rates of denial </w:t>
      </w:r>
      <w:r w:rsidRPr="00264D76">
        <w:rPr>
          <w:rFonts w:ascii="Times New Roman" w:hAnsi="Times New Roman" w:cs="Times New Roman"/>
        </w:rPr>
        <w:t>among different insurers and types of services. It provides valuable insights into the impact of prior authorization in New Mexico, presenting a snapshot of 2023 data and identifying areas for improvement.</w:t>
      </w:r>
      <w:bookmarkStart w:id="3" w:name="_Toc209356534"/>
    </w:p>
    <w:p w14:paraId="553DC8A3" w14:textId="77777777" w:rsidR="00AD26B7" w:rsidRPr="00AD26B7" w:rsidRDefault="00AD26B7" w:rsidP="00AD26B7">
      <w:pPr>
        <w:rPr>
          <w:rFonts w:ascii="Times New Roman" w:hAnsi="Times New Roman" w:cs="Times New Roman"/>
        </w:rPr>
      </w:pPr>
    </w:p>
    <w:p w14:paraId="3FCB664F" w14:textId="17E5730A" w:rsidR="00DD182D" w:rsidRPr="00DD182D" w:rsidRDefault="00DD182D" w:rsidP="00DD182D">
      <w:pPr>
        <w:pStyle w:val="Heading1"/>
        <w:spacing w:after="80"/>
        <w:rPr>
          <w:rFonts w:ascii="Times New Roman" w:hAnsi="Times New Roman" w:cs="Times New Roman"/>
          <w:b/>
          <w:bCs/>
          <w:color w:val="002060"/>
          <w:sz w:val="28"/>
          <w:szCs w:val="28"/>
        </w:rPr>
      </w:pPr>
      <w:r w:rsidRPr="00DD182D">
        <w:rPr>
          <w:rFonts w:ascii="Times New Roman" w:hAnsi="Times New Roman" w:cs="Times New Roman"/>
          <w:b/>
          <w:bCs/>
          <w:color w:val="002060"/>
          <w:sz w:val="28"/>
          <w:szCs w:val="28"/>
        </w:rPr>
        <w:lastRenderedPageBreak/>
        <w:t>Reporting Requirements</w:t>
      </w:r>
      <w:bookmarkEnd w:id="3"/>
    </w:p>
    <w:p w14:paraId="363ABA22" w14:textId="77777777" w:rsidR="007D0459" w:rsidRPr="00A726B3" w:rsidRDefault="007D0459" w:rsidP="007D0459">
      <w:pPr>
        <w:rPr>
          <w:rFonts w:ascii="Times New Roman" w:hAnsi="Times New Roman" w:cs="Times New Roman"/>
        </w:rPr>
      </w:pPr>
      <w:r w:rsidRPr="00A726B3">
        <w:rPr>
          <w:rFonts w:ascii="Times New Roman" w:hAnsi="Times New Roman" w:cs="Times New Roman"/>
        </w:rPr>
        <w:t xml:space="preserve">Annually, health insurers in New Mexico are required to provide reports regarding prior authorizations. In the data requested, they must provide the following to the OSI. </w:t>
      </w:r>
    </w:p>
    <w:p w14:paraId="060378A8" w14:textId="77777777" w:rsidR="007D0459" w:rsidRPr="00A726B3" w:rsidRDefault="007D0459" w:rsidP="007D0459">
      <w:pPr>
        <w:pStyle w:val="ListParagraph"/>
        <w:numPr>
          <w:ilvl w:val="0"/>
          <w:numId w:val="21"/>
        </w:numPr>
        <w:spacing w:after="160" w:line="259" w:lineRule="auto"/>
        <w:rPr>
          <w:rFonts w:ascii="Times New Roman" w:hAnsi="Times New Roman" w:cs="Times New Roman"/>
        </w:rPr>
      </w:pPr>
      <w:r w:rsidRPr="00A726B3">
        <w:rPr>
          <w:rFonts w:ascii="Times New Roman" w:hAnsi="Times New Roman" w:cs="Times New Roman"/>
        </w:rPr>
        <w:t>The volume of prior authorizations by category (physical health or mental health and substance use disorder treatment) type of service, the number of prior authorizations approved and denied</w:t>
      </w:r>
    </w:p>
    <w:p w14:paraId="4E387163" w14:textId="77777777" w:rsidR="007D0459" w:rsidRPr="00A726B3" w:rsidRDefault="007D0459" w:rsidP="007D0459">
      <w:pPr>
        <w:pStyle w:val="ListParagraph"/>
        <w:numPr>
          <w:ilvl w:val="0"/>
          <w:numId w:val="21"/>
        </w:numPr>
        <w:spacing w:after="160" w:line="259" w:lineRule="auto"/>
        <w:rPr>
          <w:rFonts w:ascii="Times New Roman" w:hAnsi="Times New Roman" w:cs="Times New Roman"/>
        </w:rPr>
      </w:pPr>
      <w:r w:rsidRPr="00A726B3">
        <w:rPr>
          <w:rFonts w:ascii="Times New Roman" w:hAnsi="Times New Roman" w:cs="Times New Roman"/>
        </w:rPr>
        <w:t>Timeliness reports for determination of prior authorizations</w:t>
      </w:r>
    </w:p>
    <w:p w14:paraId="6662D12F" w14:textId="77777777" w:rsidR="007D0459" w:rsidRPr="00A726B3" w:rsidRDefault="007D0459" w:rsidP="007D0459">
      <w:pPr>
        <w:pStyle w:val="ListParagraph"/>
        <w:numPr>
          <w:ilvl w:val="0"/>
          <w:numId w:val="21"/>
        </w:numPr>
        <w:spacing w:after="160" w:line="259" w:lineRule="auto"/>
        <w:rPr>
          <w:rFonts w:ascii="Times New Roman" w:hAnsi="Times New Roman" w:cs="Times New Roman"/>
        </w:rPr>
      </w:pPr>
      <w:r w:rsidRPr="00A726B3">
        <w:rPr>
          <w:rFonts w:ascii="Times New Roman" w:hAnsi="Times New Roman" w:cs="Times New Roman"/>
        </w:rPr>
        <w:t>Most often denied and approved procedures and drugs</w:t>
      </w:r>
    </w:p>
    <w:p w14:paraId="6AF7FF6D" w14:textId="27A1C32E" w:rsidR="007D0459" w:rsidRPr="007D0459" w:rsidRDefault="007D0459" w:rsidP="00264D76">
      <w:pPr>
        <w:pStyle w:val="ListParagraph"/>
        <w:numPr>
          <w:ilvl w:val="0"/>
          <w:numId w:val="21"/>
        </w:numPr>
        <w:spacing w:line="259" w:lineRule="auto"/>
        <w:rPr>
          <w:rFonts w:ascii="Times New Roman" w:hAnsi="Times New Roman" w:cs="Times New Roman"/>
        </w:rPr>
      </w:pPr>
      <w:r w:rsidRPr="00A726B3">
        <w:rPr>
          <w:rFonts w:ascii="Times New Roman" w:hAnsi="Times New Roman" w:cs="Times New Roman"/>
        </w:rPr>
        <w:t>Procedures and/or drugs denied as investigational or experimental</w:t>
      </w:r>
    </w:p>
    <w:p w14:paraId="6C564D88" w14:textId="7B19BB97" w:rsidR="007D0459" w:rsidRPr="00A726B3" w:rsidRDefault="007D0459" w:rsidP="007D0459">
      <w:pPr>
        <w:rPr>
          <w:rFonts w:ascii="Times New Roman" w:hAnsi="Times New Roman" w:cs="Times New Roman"/>
        </w:rPr>
      </w:pPr>
      <w:r w:rsidRPr="00A726B3">
        <w:rPr>
          <w:rFonts w:ascii="Times New Roman" w:eastAsia="Times New Roman" w:hAnsi="Times New Roman" w:cs="Times New Roman"/>
          <w:b/>
          <w:i/>
          <w:color w:val="000000"/>
        </w:rPr>
        <w:t xml:space="preserve">Table 1: 2023 percentage share of </w:t>
      </w:r>
      <w:r w:rsidR="00190865">
        <w:rPr>
          <w:rFonts w:ascii="Times New Roman" w:eastAsia="Times New Roman" w:hAnsi="Times New Roman" w:cs="Times New Roman"/>
          <w:b/>
          <w:i/>
          <w:color w:val="000000"/>
        </w:rPr>
        <w:t>p</w:t>
      </w:r>
      <w:r w:rsidRPr="00A726B3">
        <w:rPr>
          <w:rFonts w:ascii="Times New Roman" w:eastAsia="Times New Roman" w:hAnsi="Times New Roman" w:cs="Times New Roman"/>
          <w:b/>
          <w:i/>
          <w:color w:val="000000"/>
        </w:rPr>
        <w:t xml:space="preserve">hysical </w:t>
      </w:r>
      <w:r w:rsidR="00190865">
        <w:rPr>
          <w:rFonts w:ascii="Times New Roman" w:eastAsia="Times New Roman" w:hAnsi="Times New Roman" w:cs="Times New Roman"/>
          <w:b/>
          <w:i/>
          <w:color w:val="000000"/>
        </w:rPr>
        <w:t>h</w:t>
      </w:r>
      <w:r w:rsidRPr="00A726B3">
        <w:rPr>
          <w:rFonts w:ascii="Times New Roman" w:eastAsia="Times New Roman" w:hAnsi="Times New Roman" w:cs="Times New Roman"/>
          <w:b/>
          <w:i/>
          <w:color w:val="000000"/>
        </w:rPr>
        <w:t xml:space="preserve">ealth and </w:t>
      </w:r>
      <w:r w:rsidR="00190865">
        <w:rPr>
          <w:rFonts w:ascii="Times New Roman" w:eastAsia="Times New Roman" w:hAnsi="Times New Roman" w:cs="Times New Roman"/>
          <w:b/>
          <w:i/>
          <w:color w:val="000000"/>
        </w:rPr>
        <w:t>m</w:t>
      </w:r>
      <w:r w:rsidRPr="00A726B3">
        <w:rPr>
          <w:rFonts w:ascii="Times New Roman" w:eastAsia="Times New Roman" w:hAnsi="Times New Roman" w:cs="Times New Roman"/>
          <w:b/>
          <w:i/>
          <w:color w:val="000000"/>
        </w:rPr>
        <w:t xml:space="preserve">ental </w:t>
      </w:r>
      <w:r w:rsidR="00190865">
        <w:rPr>
          <w:rFonts w:ascii="Times New Roman" w:eastAsia="Times New Roman" w:hAnsi="Times New Roman" w:cs="Times New Roman"/>
          <w:b/>
          <w:i/>
          <w:color w:val="000000"/>
        </w:rPr>
        <w:t>h</w:t>
      </w:r>
      <w:r w:rsidRPr="00A726B3">
        <w:rPr>
          <w:rFonts w:ascii="Times New Roman" w:eastAsia="Times New Roman" w:hAnsi="Times New Roman" w:cs="Times New Roman"/>
          <w:b/>
          <w:i/>
          <w:color w:val="000000"/>
        </w:rPr>
        <w:t xml:space="preserve">ealth and </w:t>
      </w:r>
      <w:r w:rsidR="00190865">
        <w:rPr>
          <w:rFonts w:ascii="Times New Roman" w:eastAsia="Times New Roman" w:hAnsi="Times New Roman" w:cs="Times New Roman"/>
          <w:b/>
          <w:i/>
          <w:color w:val="000000"/>
        </w:rPr>
        <w:t>s</w:t>
      </w:r>
      <w:r w:rsidRPr="00A726B3">
        <w:rPr>
          <w:rFonts w:ascii="Times New Roman" w:eastAsia="Times New Roman" w:hAnsi="Times New Roman" w:cs="Times New Roman"/>
          <w:b/>
          <w:i/>
          <w:color w:val="000000"/>
        </w:rPr>
        <w:t xml:space="preserve">ubstance </w:t>
      </w:r>
      <w:r w:rsidR="00190865">
        <w:rPr>
          <w:rFonts w:ascii="Times New Roman" w:eastAsia="Times New Roman" w:hAnsi="Times New Roman" w:cs="Times New Roman"/>
          <w:b/>
          <w:i/>
          <w:color w:val="000000"/>
        </w:rPr>
        <w:t>u</w:t>
      </w:r>
      <w:r w:rsidRPr="00A726B3">
        <w:rPr>
          <w:rFonts w:ascii="Times New Roman" w:eastAsia="Times New Roman" w:hAnsi="Times New Roman" w:cs="Times New Roman"/>
          <w:b/>
          <w:i/>
          <w:color w:val="000000"/>
        </w:rPr>
        <w:t xml:space="preserve">se </w:t>
      </w:r>
      <w:r w:rsidR="00190865">
        <w:rPr>
          <w:rFonts w:ascii="Times New Roman" w:eastAsia="Times New Roman" w:hAnsi="Times New Roman" w:cs="Times New Roman"/>
          <w:b/>
          <w:i/>
          <w:color w:val="000000"/>
        </w:rPr>
        <w:t>d</w:t>
      </w:r>
      <w:r w:rsidRPr="00A726B3">
        <w:rPr>
          <w:rFonts w:ascii="Times New Roman" w:eastAsia="Times New Roman" w:hAnsi="Times New Roman" w:cs="Times New Roman"/>
          <w:b/>
          <w:i/>
          <w:color w:val="000000"/>
        </w:rPr>
        <w:t xml:space="preserve">isorder </w:t>
      </w:r>
      <w:r w:rsidR="00190865">
        <w:rPr>
          <w:rFonts w:ascii="Times New Roman" w:eastAsia="Times New Roman" w:hAnsi="Times New Roman" w:cs="Times New Roman"/>
          <w:b/>
          <w:i/>
          <w:color w:val="000000"/>
        </w:rPr>
        <w:t>t</w:t>
      </w:r>
      <w:r w:rsidRPr="00A726B3">
        <w:rPr>
          <w:rFonts w:ascii="Times New Roman" w:eastAsia="Times New Roman" w:hAnsi="Times New Roman" w:cs="Times New Roman"/>
          <w:b/>
          <w:i/>
          <w:color w:val="000000"/>
        </w:rPr>
        <w:t>reatment prior authorizations by insurer</w:t>
      </w:r>
      <w:r w:rsidR="00C219D7">
        <w:rPr>
          <w:rFonts w:ascii="Times New Roman" w:eastAsia="Times New Roman" w:hAnsi="Times New Roman" w:cs="Times New Roman"/>
          <w:b/>
          <w:i/>
          <w:color w:val="000000"/>
        </w:rPr>
        <w:t xml:space="preserve"> (from all submitted prior authorizations)</w:t>
      </w:r>
    </w:p>
    <w:tbl>
      <w:tblPr>
        <w:tblW w:w="9834" w:type="dxa"/>
        <w:tblLayout w:type="fixed"/>
        <w:tblLook w:val="06A0" w:firstRow="1" w:lastRow="0" w:firstColumn="1" w:lastColumn="0" w:noHBand="1" w:noVBand="1"/>
      </w:tblPr>
      <w:tblGrid>
        <w:gridCol w:w="1562"/>
        <w:gridCol w:w="1936"/>
        <w:gridCol w:w="2857"/>
        <w:gridCol w:w="1658"/>
        <w:gridCol w:w="1821"/>
      </w:tblGrid>
      <w:tr w:rsidR="007D0459" w14:paraId="7E867054" w14:textId="77777777" w:rsidTr="00D12177">
        <w:trPr>
          <w:trHeight w:val="546"/>
        </w:trPr>
        <w:tc>
          <w:tcPr>
            <w:tcW w:w="1562"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right w:w="15" w:type="dxa"/>
            </w:tcMar>
            <w:vAlign w:val="center"/>
          </w:tcPr>
          <w:p w14:paraId="0B59B208" w14:textId="77777777" w:rsidR="007D0459" w:rsidRPr="00A726B3" w:rsidRDefault="007D0459" w:rsidP="00D12177">
            <w:pPr>
              <w:spacing w:after="0"/>
              <w:jc w:val="center"/>
              <w:rPr>
                <w:rFonts w:ascii="Times New Roman" w:eastAsia="Aptos Display" w:hAnsi="Times New Roman" w:cs="Times New Roman"/>
                <w:b/>
                <w:color w:val="000000" w:themeColor="text1"/>
                <w:sz w:val="18"/>
                <w:szCs w:val="18"/>
              </w:rPr>
            </w:pPr>
            <w:r w:rsidRPr="00A726B3">
              <w:rPr>
                <w:rFonts w:ascii="Times New Roman" w:eastAsia="Aptos Display" w:hAnsi="Times New Roman" w:cs="Times New Roman"/>
                <w:b/>
                <w:bCs/>
                <w:color w:val="000000" w:themeColor="text1"/>
                <w:sz w:val="18"/>
                <w:szCs w:val="18"/>
              </w:rPr>
              <w:t>Insurer Name</w:t>
            </w:r>
          </w:p>
        </w:tc>
        <w:tc>
          <w:tcPr>
            <w:tcW w:w="1936"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right w:w="15" w:type="dxa"/>
            </w:tcMar>
            <w:vAlign w:val="center"/>
          </w:tcPr>
          <w:p w14:paraId="0B0F969B" w14:textId="77777777" w:rsidR="007D0459" w:rsidRPr="00A726B3" w:rsidRDefault="007D0459" w:rsidP="00D12177">
            <w:pPr>
              <w:spacing w:after="0"/>
              <w:jc w:val="center"/>
              <w:rPr>
                <w:rFonts w:ascii="Times New Roman" w:eastAsia="Aptos Display" w:hAnsi="Times New Roman" w:cs="Times New Roman"/>
                <w:b/>
                <w:color w:val="000000" w:themeColor="text1"/>
                <w:sz w:val="18"/>
                <w:szCs w:val="18"/>
              </w:rPr>
            </w:pPr>
            <w:r w:rsidRPr="00A726B3">
              <w:rPr>
                <w:rFonts w:ascii="Times New Roman" w:eastAsia="Aptos Display" w:hAnsi="Times New Roman" w:cs="Times New Roman"/>
                <w:b/>
                <w:color w:val="000000" w:themeColor="text1"/>
                <w:sz w:val="18"/>
                <w:szCs w:val="18"/>
              </w:rPr>
              <w:t>Product</w:t>
            </w:r>
          </w:p>
        </w:tc>
        <w:tc>
          <w:tcPr>
            <w:tcW w:w="2857"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right w:w="15" w:type="dxa"/>
            </w:tcMar>
            <w:vAlign w:val="center"/>
          </w:tcPr>
          <w:p w14:paraId="70116689" w14:textId="77777777" w:rsidR="007D0459" w:rsidRPr="00A726B3" w:rsidRDefault="007D0459" w:rsidP="00D12177">
            <w:pPr>
              <w:spacing w:after="0"/>
              <w:jc w:val="center"/>
              <w:rPr>
                <w:rFonts w:ascii="Times New Roman" w:eastAsia="Aptos Display" w:hAnsi="Times New Roman" w:cs="Times New Roman"/>
                <w:b/>
                <w:color w:val="000000" w:themeColor="text1"/>
                <w:sz w:val="18"/>
                <w:szCs w:val="18"/>
              </w:rPr>
            </w:pPr>
            <w:r w:rsidRPr="00A726B3">
              <w:rPr>
                <w:rFonts w:ascii="Times New Roman" w:eastAsia="Aptos Display" w:hAnsi="Times New Roman" w:cs="Times New Roman"/>
                <w:b/>
                <w:color w:val="000000" w:themeColor="text1"/>
                <w:sz w:val="18"/>
                <w:szCs w:val="18"/>
              </w:rPr>
              <w:t>Market</w:t>
            </w:r>
          </w:p>
        </w:tc>
        <w:tc>
          <w:tcPr>
            <w:tcW w:w="1658"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right w:w="15" w:type="dxa"/>
            </w:tcMar>
            <w:vAlign w:val="center"/>
          </w:tcPr>
          <w:p w14:paraId="669798BE" w14:textId="77777777" w:rsidR="007D0459" w:rsidRPr="00A726B3" w:rsidRDefault="007D0459" w:rsidP="00D12177">
            <w:pPr>
              <w:spacing w:after="0"/>
              <w:jc w:val="center"/>
              <w:rPr>
                <w:rFonts w:ascii="Times New Roman" w:eastAsia="Aptos Display" w:hAnsi="Times New Roman" w:cs="Times New Roman"/>
                <w:b/>
                <w:color w:val="000000" w:themeColor="text1"/>
                <w:sz w:val="18"/>
                <w:szCs w:val="18"/>
              </w:rPr>
            </w:pPr>
            <w:r w:rsidRPr="00A726B3">
              <w:rPr>
                <w:rFonts w:ascii="Times New Roman" w:eastAsia="Aptos Display" w:hAnsi="Times New Roman" w:cs="Times New Roman"/>
                <w:b/>
                <w:color w:val="000000" w:themeColor="text1"/>
                <w:sz w:val="18"/>
                <w:szCs w:val="18"/>
              </w:rPr>
              <w:t>% Physical Health</w:t>
            </w:r>
          </w:p>
        </w:tc>
        <w:tc>
          <w:tcPr>
            <w:tcW w:w="1821" w:type="dxa"/>
            <w:tcBorders>
              <w:top w:val="single" w:sz="4" w:space="0" w:color="auto"/>
              <w:left w:val="single" w:sz="4" w:space="0" w:color="auto"/>
              <w:bottom w:val="single" w:sz="4" w:space="0" w:color="auto"/>
              <w:right w:val="single" w:sz="4" w:space="0" w:color="auto"/>
            </w:tcBorders>
            <w:shd w:val="clear" w:color="auto" w:fill="EEECE1" w:themeFill="background2"/>
            <w:tcMar>
              <w:top w:w="15" w:type="dxa"/>
              <w:left w:w="15" w:type="dxa"/>
              <w:right w:w="15" w:type="dxa"/>
            </w:tcMar>
            <w:vAlign w:val="center"/>
          </w:tcPr>
          <w:p w14:paraId="60CB9E58" w14:textId="77777777" w:rsidR="007D0459" w:rsidRPr="00A726B3" w:rsidRDefault="007D0459" w:rsidP="00D12177">
            <w:pPr>
              <w:spacing w:after="0"/>
              <w:jc w:val="center"/>
              <w:rPr>
                <w:rFonts w:ascii="Times New Roman" w:eastAsia="Aptos Display" w:hAnsi="Times New Roman" w:cs="Times New Roman"/>
                <w:b/>
                <w:color w:val="000000" w:themeColor="text1"/>
                <w:sz w:val="18"/>
                <w:szCs w:val="18"/>
              </w:rPr>
            </w:pPr>
            <w:r w:rsidRPr="00A726B3">
              <w:rPr>
                <w:rFonts w:ascii="Times New Roman" w:eastAsia="Aptos Display" w:hAnsi="Times New Roman" w:cs="Times New Roman"/>
                <w:b/>
                <w:color w:val="000000" w:themeColor="text1"/>
                <w:sz w:val="18"/>
                <w:szCs w:val="18"/>
              </w:rPr>
              <w:t>% Mental Health and Substance Abuse</w:t>
            </w:r>
          </w:p>
        </w:tc>
      </w:tr>
      <w:tr w:rsidR="007D0459" w14:paraId="30893BE9" w14:textId="77777777" w:rsidTr="00D12177">
        <w:trPr>
          <w:trHeight w:val="363"/>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9048F8"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BCBSNM</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C0EB5"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HMO and PPO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DD33EF"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 and Individual</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1E2D2A"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95%</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B7A030"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5%</w:t>
            </w:r>
          </w:p>
        </w:tc>
      </w:tr>
      <w:tr w:rsidR="007D0459" w14:paraId="28439478"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CC37C2"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Cigna</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83C65A"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PPO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5D1900"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94F894"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98%</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112EF7"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2%</w:t>
            </w:r>
          </w:p>
        </w:tc>
      </w:tr>
      <w:tr w:rsidR="007D0459" w14:paraId="4A26135B"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3A39829"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Molina</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6112B31"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HMO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BB2EFE3"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Individual</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A99F52"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93%</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51EE0D"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7%</w:t>
            </w:r>
          </w:p>
        </w:tc>
      </w:tr>
      <w:tr w:rsidR="007D0459" w14:paraId="6F63A6FF"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1C17176"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PHP</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2A88D1"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HMO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CFA8AC"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8693CB"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94%</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E0AD43"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6%</w:t>
            </w:r>
          </w:p>
        </w:tc>
      </w:tr>
      <w:tr w:rsidR="007D0459" w14:paraId="20FC36B1" w14:textId="77777777" w:rsidTr="00D12177">
        <w:trPr>
          <w:trHeight w:val="250"/>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D0A85A9"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PIC</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7B69C80"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PPO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9EE139"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 and Individual</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3311F5"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92%</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44E46E"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8%</w:t>
            </w:r>
          </w:p>
        </w:tc>
      </w:tr>
      <w:tr w:rsidR="007D0459" w14:paraId="0BDBC7D6"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6CAD8E7"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UHCNM</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EFDD07"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HMO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FF177B"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349D87"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99%</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8C27B3"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1%</w:t>
            </w:r>
          </w:p>
        </w:tc>
      </w:tr>
      <w:tr w:rsidR="007D0459" w14:paraId="1EACDBE0"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8E0D00"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UHIC</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956B94"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PPO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CD78B"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Group</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F5D3F9"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89%</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D1E78C"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11%</w:t>
            </w:r>
          </w:p>
        </w:tc>
      </w:tr>
      <w:tr w:rsidR="007D0459" w14:paraId="08EC6ACF" w14:textId="77777777" w:rsidTr="00D12177">
        <w:trPr>
          <w:trHeight w:val="151"/>
        </w:trPr>
        <w:tc>
          <w:tcPr>
            <w:tcW w:w="156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7BD712"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WSCC</w:t>
            </w:r>
          </w:p>
        </w:tc>
        <w:tc>
          <w:tcPr>
            <w:tcW w:w="1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F6BE4E"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HMO</w:t>
            </w:r>
          </w:p>
        </w:tc>
        <w:tc>
          <w:tcPr>
            <w:tcW w:w="28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EF9E57"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Individual</w:t>
            </w:r>
          </w:p>
        </w:tc>
        <w:tc>
          <w:tcPr>
            <w:tcW w:w="165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9A2795"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93%</w:t>
            </w:r>
          </w:p>
        </w:tc>
        <w:tc>
          <w:tcPr>
            <w:tcW w:w="182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4ED268B" w14:textId="77777777" w:rsidR="007D0459" w:rsidRPr="00A726B3" w:rsidRDefault="007D0459" w:rsidP="00D12177">
            <w:pPr>
              <w:spacing w:after="0"/>
              <w:jc w:val="center"/>
              <w:rPr>
                <w:rFonts w:ascii="Times New Roman" w:eastAsia="Aptos Display" w:hAnsi="Times New Roman" w:cs="Times New Roman"/>
                <w:color w:val="000000" w:themeColor="text1"/>
                <w:sz w:val="18"/>
                <w:szCs w:val="18"/>
              </w:rPr>
            </w:pPr>
            <w:r w:rsidRPr="00A726B3">
              <w:rPr>
                <w:rFonts w:ascii="Times New Roman" w:eastAsia="Aptos Display" w:hAnsi="Times New Roman" w:cs="Times New Roman"/>
                <w:color w:val="000000" w:themeColor="text1"/>
                <w:sz w:val="18"/>
                <w:szCs w:val="18"/>
              </w:rPr>
              <w:t>7%</w:t>
            </w:r>
          </w:p>
        </w:tc>
      </w:tr>
    </w:tbl>
    <w:p w14:paraId="7D98DCA9" w14:textId="77777777" w:rsidR="007D0459" w:rsidRDefault="007D0459" w:rsidP="007442A6">
      <w:pPr>
        <w:rPr>
          <w:rFonts w:ascii="Times New Roman" w:hAnsi="Times New Roman" w:cs="Times New Roman"/>
        </w:rPr>
      </w:pPr>
    </w:p>
    <w:p w14:paraId="5B3BAC16" w14:textId="16425B70" w:rsidR="007D0459" w:rsidRPr="007D0459" w:rsidRDefault="007D0459" w:rsidP="007D0459">
      <w:pPr>
        <w:rPr>
          <w:rFonts w:ascii="Times New Roman" w:hAnsi="Times New Roman" w:cs="Times New Roman"/>
        </w:rPr>
      </w:pPr>
      <w:r w:rsidRPr="007D0459">
        <w:rPr>
          <w:rFonts w:ascii="Times New Roman" w:hAnsi="Times New Roman" w:cs="Times New Roman"/>
        </w:rPr>
        <w:t>In New Mexico, both Presbyterian and UnitedHealthcare offer health insurance through separate companies for their HMO and PPO plans. While these plans are sold under the same parent brand, they</w:t>
      </w:r>
      <w:r w:rsidR="00310409">
        <w:rPr>
          <w:rFonts w:ascii="Times New Roman" w:hAnsi="Times New Roman" w:cs="Times New Roman"/>
        </w:rPr>
        <w:t xml:space="preserve"> are</w:t>
      </w:r>
      <w:r w:rsidRPr="007D0459">
        <w:rPr>
          <w:rFonts w:ascii="Times New Roman" w:hAnsi="Times New Roman" w:cs="Times New Roman"/>
        </w:rPr>
        <w:t xml:space="preserve"> managed by different licensed entities, each with its own provider network, coverage rules, and reporting requirements.</w:t>
      </w:r>
    </w:p>
    <w:p w14:paraId="1B45A654"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For example:</w:t>
      </w:r>
    </w:p>
    <w:p w14:paraId="5A0AB24A" w14:textId="77777777" w:rsidR="007D0459" w:rsidRPr="007D0459" w:rsidRDefault="007D0459" w:rsidP="00264D76">
      <w:pPr>
        <w:numPr>
          <w:ilvl w:val="0"/>
          <w:numId w:val="24"/>
        </w:numPr>
        <w:tabs>
          <w:tab w:val="num" w:pos="720"/>
        </w:tabs>
        <w:spacing w:after="80"/>
        <w:rPr>
          <w:rFonts w:ascii="Times New Roman" w:hAnsi="Times New Roman" w:cs="Times New Roman"/>
        </w:rPr>
      </w:pPr>
      <w:r w:rsidRPr="007D0459">
        <w:rPr>
          <w:rFonts w:ascii="Times New Roman" w:hAnsi="Times New Roman" w:cs="Times New Roman"/>
          <w:b/>
          <w:bCs/>
        </w:rPr>
        <w:t>PHP</w:t>
      </w:r>
      <w:r w:rsidRPr="007D0459">
        <w:rPr>
          <w:rFonts w:ascii="Times New Roman" w:hAnsi="Times New Roman" w:cs="Times New Roman"/>
        </w:rPr>
        <w:t xml:space="preserve"> offers HMO plans </w:t>
      </w:r>
    </w:p>
    <w:p w14:paraId="6766AF8D" w14:textId="77777777" w:rsidR="007D0459" w:rsidRPr="007D0459" w:rsidRDefault="007D0459" w:rsidP="00264D76">
      <w:pPr>
        <w:numPr>
          <w:ilvl w:val="0"/>
          <w:numId w:val="24"/>
        </w:numPr>
        <w:tabs>
          <w:tab w:val="num" w:pos="720"/>
        </w:tabs>
        <w:spacing w:after="80"/>
        <w:rPr>
          <w:rFonts w:ascii="Times New Roman" w:hAnsi="Times New Roman" w:cs="Times New Roman"/>
        </w:rPr>
      </w:pPr>
      <w:r w:rsidRPr="007D0459">
        <w:rPr>
          <w:rFonts w:ascii="Times New Roman" w:hAnsi="Times New Roman" w:cs="Times New Roman"/>
          <w:b/>
          <w:bCs/>
        </w:rPr>
        <w:t>PIC</w:t>
      </w:r>
      <w:r w:rsidRPr="007D0459">
        <w:rPr>
          <w:rFonts w:ascii="Times New Roman" w:hAnsi="Times New Roman" w:cs="Times New Roman"/>
        </w:rPr>
        <w:t xml:space="preserve"> offers PPO plans</w:t>
      </w:r>
    </w:p>
    <w:p w14:paraId="696998ED" w14:textId="77777777" w:rsidR="007D0459" w:rsidRPr="007D0459" w:rsidRDefault="007D0459" w:rsidP="00264D76">
      <w:pPr>
        <w:numPr>
          <w:ilvl w:val="0"/>
          <w:numId w:val="24"/>
        </w:numPr>
        <w:tabs>
          <w:tab w:val="num" w:pos="720"/>
        </w:tabs>
        <w:spacing w:after="80"/>
        <w:rPr>
          <w:rFonts w:ascii="Times New Roman" w:hAnsi="Times New Roman" w:cs="Times New Roman"/>
        </w:rPr>
      </w:pPr>
      <w:r w:rsidRPr="007D0459">
        <w:rPr>
          <w:rFonts w:ascii="Times New Roman" w:hAnsi="Times New Roman" w:cs="Times New Roman"/>
          <w:b/>
          <w:bCs/>
        </w:rPr>
        <w:t>UHCNM</w:t>
      </w:r>
      <w:r w:rsidRPr="007D0459">
        <w:rPr>
          <w:rFonts w:ascii="Times New Roman" w:hAnsi="Times New Roman" w:cs="Times New Roman"/>
        </w:rPr>
        <w:t xml:space="preserve"> offers HMO plans</w:t>
      </w:r>
    </w:p>
    <w:p w14:paraId="131C9ABC" w14:textId="77777777" w:rsidR="007D0459" w:rsidRPr="007D0459" w:rsidRDefault="007D0459" w:rsidP="007D0459">
      <w:pPr>
        <w:numPr>
          <w:ilvl w:val="0"/>
          <w:numId w:val="24"/>
        </w:numPr>
        <w:tabs>
          <w:tab w:val="num" w:pos="720"/>
        </w:tabs>
        <w:rPr>
          <w:rFonts w:ascii="Times New Roman" w:hAnsi="Times New Roman" w:cs="Times New Roman"/>
        </w:rPr>
      </w:pPr>
      <w:r w:rsidRPr="007D0459">
        <w:rPr>
          <w:rFonts w:ascii="Times New Roman" w:hAnsi="Times New Roman" w:cs="Times New Roman"/>
          <w:b/>
          <w:bCs/>
        </w:rPr>
        <w:t>UHIC</w:t>
      </w:r>
      <w:r w:rsidRPr="007D0459">
        <w:rPr>
          <w:rFonts w:ascii="Times New Roman" w:hAnsi="Times New Roman" w:cs="Times New Roman"/>
        </w:rPr>
        <w:t xml:space="preserve"> offers PPO plans</w:t>
      </w:r>
    </w:p>
    <w:p w14:paraId="4B68E195"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Because these plans operate under separate licenses, each parent company submitted a distinct prior authorization report for its HMO and PPO products. This means that how care is accessed and how benefits like prior authorization are managed can vary depending on the type of plan.</w:t>
      </w:r>
    </w:p>
    <w:p w14:paraId="11A2EF51"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It’s also important to understand the difference between various networks:</w:t>
      </w:r>
    </w:p>
    <w:p w14:paraId="32C3B644" w14:textId="77777777" w:rsidR="007D0459" w:rsidRPr="007D0459" w:rsidRDefault="007D0459" w:rsidP="007D0459">
      <w:pPr>
        <w:numPr>
          <w:ilvl w:val="0"/>
          <w:numId w:val="25"/>
        </w:numPr>
        <w:rPr>
          <w:rFonts w:ascii="Times New Roman" w:hAnsi="Times New Roman" w:cs="Times New Roman"/>
        </w:rPr>
      </w:pPr>
      <w:r w:rsidRPr="007D0459">
        <w:rPr>
          <w:rFonts w:ascii="Times New Roman" w:hAnsi="Times New Roman" w:cs="Times New Roman"/>
          <w:b/>
        </w:rPr>
        <w:t>Health Maintenance Organization (HMO) plans</w:t>
      </w:r>
      <w:r w:rsidRPr="007D0459">
        <w:rPr>
          <w:rFonts w:ascii="Times New Roman" w:hAnsi="Times New Roman" w:cs="Times New Roman"/>
        </w:rPr>
        <w:t xml:space="preserve"> typically require you to stay within a specific network of providers and only cover out-of-network care in emergencies. With some HMO plans, you may need to choose a primary care physician who can coordinate your care and provide referrals to specialists.</w:t>
      </w:r>
    </w:p>
    <w:p w14:paraId="19341F41" w14:textId="77777777" w:rsidR="007D0459" w:rsidRPr="007D0459" w:rsidRDefault="007D0459" w:rsidP="007D0459">
      <w:pPr>
        <w:numPr>
          <w:ilvl w:val="0"/>
          <w:numId w:val="25"/>
        </w:numPr>
        <w:rPr>
          <w:rFonts w:ascii="Times New Roman" w:hAnsi="Times New Roman" w:cs="Times New Roman"/>
        </w:rPr>
      </w:pPr>
      <w:r w:rsidRPr="007D0459">
        <w:rPr>
          <w:rFonts w:ascii="Times New Roman" w:hAnsi="Times New Roman" w:cs="Times New Roman"/>
          <w:b/>
        </w:rPr>
        <w:lastRenderedPageBreak/>
        <w:t>Preferred Provider Organization (PPO) plans</w:t>
      </w:r>
      <w:r w:rsidRPr="007D0459">
        <w:rPr>
          <w:rFonts w:ascii="Times New Roman" w:hAnsi="Times New Roman" w:cs="Times New Roman"/>
        </w:rPr>
        <w:t xml:space="preserve"> offer more flexibility, allowing you to see out-of-network providers, without a referral, though usually at a higher cost.</w:t>
      </w:r>
    </w:p>
    <w:p w14:paraId="7F9FBE33" w14:textId="77777777" w:rsidR="007D0459" w:rsidRPr="007D0459" w:rsidRDefault="007D0459" w:rsidP="007D0459">
      <w:pPr>
        <w:numPr>
          <w:ilvl w:val="0"/>
          <w:numId w:val="25"/>
        </w:numPr>
        <w:rPr>
          <w:rFonts w:ascii="Times New Roman" w:hAnsi="Times New Roman" w:cs="Times New Roman"/>
        </w:rPr>
      </w:pPr>
      <w:r w:rsidRPr="007D0459">
        <w:rPr>
          <w:rFonts w:ascii="Times New Roman" w:hAnsi="Times New Roman" w:cs="Times New Roman"/>
          <w:b/>
        </w:rPr>
        <w:t xml:space="preserve">Exclusive Provider Organization (EPO) plans </w:t>
      </w:r>
      <w:r w:rsidRPr="007D0459">
        <w:rPr>
          <w:rFonts w:ascii="Times New Roman" w:hAnsi="Times New Roman" w:cs="Times New Roman"/>
        </w:rPr>
        <w:t xml:space="preserve">are </w:t>
      </w:r>
      <w:proofErr w:type="gramStart"/>
      <w:r w:rsidRPr="007D0459">
        <w:rPr>
          <w:rFonts w:ascii="Times New Roman" w:hAnsi="Times New Roman" w:cs="Times New Roman"/>
        </w:rPr>
        <w:t>similar to</w:t>
      </w:r>
      <w:proofErr w:type="gramEnd"/>
      <w:r w:rsidRPr="007D0459">
        <w:rPr>
          <w:rFonts w:ascii="Times New Roman" w:hAnsi="Times New Roman" w:cs="Times New Roman"/>
        </w:rPr>
        <w:t xml:space="preserve"> HMOs without out-of-network coverage, other than in emergency situations.  However, members are not required to select a PCP or get referrals for specialists within the network. </w:t>
      </w:r>
    </w:p>
    <w:p w14:paraId="2E50B692" w14:textId="2864B06C" w:rsidR="007D0459" w:rsidRPr="007D0459" w:rsidRDefault="007D0459" w:rsidP="007D0459">
      <w:pPr>
        <w:numPr>
          <w:ilvl w:val="0"/>
          <w:numId w:val="25"/>
        </w:numPr>
        <w:rPr>
          <w:rFonts w:ascii="Times New Roman" w:hAnsi="Times New Roman" w:cs="Times New Roman"/>
        </w:rPr>
      </w:pPr>
      <w:r w:rsidRPr="007D0459">
        <w:rPr>
          <w:rFonts w:ascii="Times New Roman" w:hAnsi="Times New Roman" w:cs="Times New Roman"/>
          <w:b/>
        </w:rPr>
        <w:t xml:space="preserve">Point of Service (POS) plans </w:t>
      </w:r>
      <w:r w:rsidRPr="007D0459">
        <w:rPr>
          <w:rFonts w:ascii="Times New Roman" w:hAnsi="Times New Roman" w:cs="Times New Roman"/>
        </w:rPr>
        <w:t>combine features of both HMOs and PPOs, offering flexibility in choosing healthcare providers while still providing cost savings when using in-network services.</w:t>
      </w:r>
      <w:r w:rsidRPr="007D0459">
        <w:rPr>
          <w:rFonts w:ascii="Times New Roman" w:hAnsi="Times New Roman" w:cs="Times New Roman"/>
          <w:b/>
        </w:rPr>
        <w:t xml:space="preserve"> </w:t>
      </w:r>
      <w:r w:rsidRPr="007D0459">
        <w:rPr>
          <w:rFonts w:ascii="Times New Roman" w:hAnsi="Times New Roman" w:cs="Times New Roman"/>
        </w:rPr>
        <w:t>Plans can have out-of-network coverage at a higher cost and usually require referrals.</w:t>
      </w:r>
      <w:r w:rsidRPr="007D0459">
        <w:rPr>
          <w:rFonts w:ascii="Times New Roman" w:hAnsi="Times New Roman" w:cs="Times New Roman"/>
          <w:b/>
        </w:rPr>
        <w:t xml:space="preserve"> </w:t>
      </w:r>
    </w:p>
    <w:p w14:paraId="7B9B81B6" w14:textId="77777777" w:rsidR="000E2D5B" w:rsidRPr="000E2D5B" w:rsidRDefault="000E2D5B" w:rsidP="000E2D5B">
      <w:pPr>
        <w:pStyle w:val="Heading2"/>
        <w:spacing w:after="200"/>
        <w:rPr>
          <w:color w:val="002060"/>
          <w:sz w:val="28"/>
          <w:szCs w:val="28"/>
        </w:rPr>
      </w:pPr>
      <w:bookmarkStart w:id="4" w:name="_Toc209356535"/>
      <w:r w:rsidRPr="000E2D5B">
        <w:rPr>
          <w:color w:val="002060"/>
          <w:sz w:val="28"/>
          <w:szCs w:val="28"/>
        </w:rPr>
        <w:t>New Mexico State Requirements for Prior Authorization</w:t>
      </w:r>
      <w:bookmarkEnd w:id="4"/>
    </w:p>
    <w:p w14:paraId="5933E34B" w14:textId="6DD9EEE5" w:rsidR="007D0459" w:rsidRPr="007D0459" w:rsidRDefault="007D0459" w:rsidP="007D0459">
      <w:pPr>
        <w:rPr>
          <w:rFonts w:ascii="Times New Roman" w:hAnsi="Times New Roman" w:cs="Times New Roman"/>
        </w:rPr>
      </w:pPr>
      <w:r w:rsidRPr="007D0459">
        <w:rPr>
          <w:rFonts w:ascii="Times New Roman" w:hAnsi="Times New Roman" w:cs="Times New Roman"/>
        </w:rPr>
        <w:t>Prior authorization is a process used by health insurance companies to decide if a medical service, treatment, or prescription will be covered before you receive it. In New Mexico, lawmakers recognized that delays, confusing rules, and sudden denials were creating real problems for patients and providers. To fix this, the state passed the Prior Authorization Act in 2019.</w:t>
      </w:r>
    </w:p>
    <w:p w14:paraId="36A3932E" w14:textId="64E66236"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This law </w:t>
      </w:r>
      <w:r w:rsidR="00D32650" w:rsidRPr="007D0459">
        <w:rPr>
          <w:rFonts w:ascii="Times New Roman" w:hAnsi="Times New Roman" w:cs="Times New Roman"/>
        </w:rPr>
        <w:t>sets</w:t>
      </w:r>
      <w:r w:rsidRPr="007D0459">
        <w:rPr>
          <w:rFonts w:ascii="Times New Roman" w:hAnsi="Times New Roman" w:cs="Times New Roman"/>
        </w:rPr>
        <w:t xml:space="preserve"> clear standards to make the approval </w:t>
      </w:r>
      <w:r w:rsidR="002E2723">
        <w:rPr>
          <w:rFonts w:ascii="Times New Roman" w:hAnsi="Times New Roman" w:cs="Times New Roman"/>
        </w:rPr>
        <w:t xml:space="preserve">of health insurance </w:t>
      </w:r>
      <w:r w:rsidR="0029049C">
        <w:rPr>
          <w:rFonts w:ascii="Times New Roman" w:hAnsi="Times New Roman" w:cs="Times New Roman"/>
        </w:rPr>
        <w:t>carriers</w:t>
      </w:r>
      <w:r w:rsidR="002E2723">
        <w:rPr>
          <w:rFonts w:ascii="Times New Roman" w:hAnsi="Times New Roman" w:cs="Times New Roman"/>
        </w:rPr>
        <w:t xml:space="preserve"> required </w:t>
      </w:r>
      <w:r w:rsidR="00AC2103">
        <w:rPr>
          <w:rFonts w:ascii="Times New Roman" w:hAnsi="Times New Roman" w:cs="Times New Roman"/>
        </w:rPr>
        <w:t xml:space="preserve">prior authorization </w:t>
      </w:r>
      <w:r w:rsidRPr="007D0459">
        <w:rPr>
          <w:rFonts w:ascii="Times New Roman" w:hAnsi="Times New Roman" w:cs="Times New Roman"/>
        </w:rPr>
        <w:t>faster, more consistent, and easier to understand. Insurance companies must follow specific timelines when reviewing requests:</w:t>
      </w:r>
    </w:p>
    <w:p w14:paraId="3C522ADF" w14:textId="77777777" w:rsidR="007D0459" w:rsidRPr="007D0459" w:rsidRDefault="007D0459" w:rsidP="00264D76">
      <w:pPr>
        <w:numPr>
          <w:ilvl w:val="0"/>
          <w:numId w:val="27"/>
        </w:numPr>
        <w:spacing w:after="80"/>
        <w:rPr>
          <w:rFonts w:ascii="Times New Roman" w:hAnsi="Times New Roman" w:cs="Times New Roman"/>
        </w:rPr>
      </w:pPr>
      <w:r w:rsidRPr="007D0459">
        <w:rPr>
          <w:rFonts w:ascii="Times New Roman" w:hAnsi="Times New Roman" w:cs="Times New Roman"/>
        </w:rPr>
        <w:t>Urgent medical requests: Decision required within 24 hours</w:t>
      </w:r>
    </w:p>
    <w:p w14:paraId="37437AB7" w14:textId="77777777" w:rsidR="007D0459" w:rsidRPr="007D0459" w:rsidRDefault="007D0459" w:rsidP="00264D76">
      <w:pPr>
        <w:numPr>
          <w:ilvl w:val="0"/>
          <w:numId w:val="27"/>
        </w:numPr>
        <w:spacing w:after="80"/>
        <w:rPr>
          <w:rFonts w:ascii="Times New Roman" w:hAnsi="Times New Roman" w:cs="Times New Roman"/>
        </w:rPr>
      </w:pPr>
      <w:r w:rsidRPr="007D0459">
        <w:rPr>
          <w:rFonts w:ascii="Times New Roman" w:hAnsi="Times New Roman" w:cs="Times New Roman"/>
        </w:rPr>
        <w:t>Routine medical requests: Decision required within 7 days</w:t>
      </w:r>
    </w:p>
    <w:p w14:paraId="32C77FD2" w14:textId="77777777" w:rsidR="007D0459" w:rsidRPr="007D0459" w:rsidRDefault="007D0459" w:rsidP="00264D76">
      <w:pPr>
        <w:numPr>
          <w:ilvl w:val="0"/>
          <w:numId w:val="27"/>
        </w:numPr>
        <w:spacing w:after="80"/>
        <w:rPr>
          <w:rFonts w:ascii="Times New Roman" w:hAnsi="Times New Roman" w:cs="Times New Roman"/>
        </w:rPr>
      </w:pPr>
      <w:r w:rsidRPr="007D0459">
        <w:rPr>
          <w:rFonts w:ascii="Times New Roman" w:hAnsi="Times New Roman" w:cs="Times New Roman"/>
        </w:rPr>
        <w:t>Urgent prescription drug requests: Decision required within 24 hours</w:t>
      </w:r>
    </w:p>
    <w:p w14:paraId="2A7F5DC1" w14:textId="77777777" w:rsidR="007D0459" w:rsidRPr="007D0459" w:rsidRDefault="007D0459" w:rsidP="007D0459">
      <w:pPr>
        <w:numPr>
          <w:ilvl w:val="0"/>
          <w:numId w:val="27"/>
        </w:numPr>
        <w:rPr>
          <w:rFonts w:ascii="Times New Roman" w:hAnsi="Times New Roman" w:cs="Times New Roman"/>
        </w:rPr>
      </w:pPr>
      <w:r w:rsidRPr="007D0459">
        <w:rPr>
          <w:rFonts w:ascii="Times New Roman" w:hAnsi="Times New Roman" w:cs="Times New Roman"/>
        </w:rPr>
        <w:t>Non-urgent prescription drug requests: Decision required within 3 days</w:t>
      </w:r>
    </w:p>
    <w:p w14:paraId="733C6D02" w14:textId="77777777" w:rsidR="007D0459" w:rsidRPr="007D0459" w:rsidRDefault="007D0459" w:rsidP="00264D76">
      <w:pPr>
        <w:spacing w:after="240"/>
        <w:contextualSpacing/>
        <w:rPr>
          <w:rFonts w:ascii="Times New Roman" w:hAnsi="Times New Roman" w:cs="Times New Roman"/>
        </w:rPr>
      </w:pPr>
      <w:r w:rsidRPr="007D0459">
        <w:rPr>
          <w:rFonts w:ascii="Times New Roman" w:hAnsi="Times New Roman" w:cs="Times New Roman"/>
        </w:rPr>
        <w:t>If your insurer doesn’t respond within the required time, the request must be automatically approved.</w:t>
      </w:r>
    </w:p>
    <w:p w14:paraId="702ED2E5"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Insurance companies must also:</w:t>
      </w:r>
    </w:p>
    <w:p w14:paraId="4F5D8E0E" w14:textId="77777777" w:rsidR="007D0459" w:rsidRPr="007D0459" w:rsidRDefault="007D0459" w:rsidP="00264D76">
      <w:pPr>
        <w:numPr>
          <w:ilvl w:val="0"/>
          <w:numId w:val="28"/>
        </w:numPr>
        <w:spacing w:after="80"/>
        <w:rPr>
          <w:rFonts w:ascii="Times New Roman" w:hAnsi="Times New Roman" w:cs="Times New Roman"/>
        </w:rPr>
      </w:pPr>
      <w:r w:rsidRPr="007D0459">
        <w:rPr>
          <w:rFonts w:ascii="Times New Roman" w:hAnsi="Times New Roman" w:cs="Times New Roman"/>
        </w:rPr>
        <w:t>Use standardized forms for all prior authorization requests</w:t>
      </w:r>
    </w:p>
    <w:p w14:paraId="531F9A75" w14:textId="77777777" w:rsidR="007D0459" w:rsidRPr="007D0459" w:rsidRDefault="007D0459" w:rsidP="00264D76">
      <w:pPr>
        <w:numPr>
          <w:ilvl w:val="0"/>
          <w:numId w:val="28"/>
        </w:numPr>
        <w:spacing w:after="80"/>
        <w:rPr>
          <w:rFonts w:ascii="Times New Roman" w:hAnsi="Times New Roman" w:cs="Times New Roman"/>
        </w:rPr>
      </w:pPr>
      <w:r w:rsidRPr="007D0459">
        <w:rPr>
          <w:rFonts w:ascii="Times New Roman" w:hAnsi="Times New Roman" w:cs="Times New Roman"/>
        </w:rPr>
        <w:t>Offer a 24/7 online portal for electronic submissions with tracking numbers</w:t>
      </w:r>
    </w:p>
    <w:p w14:paraId="7E755F81" w14:textId="77777777" w:rsidR="007D0459" w:rsidRPr="007D0459" w:rsidRDefault="007D0459" w:rsidP="00264D76">
      <w:pPr>
        <w:numPr>
          <w:ilvl w:val="0"/>
          <w:numId w:val="28"/>
        </w:numPr>
        <w:spacing w:after="80"/>
        <w:rPr>
          <w:rFonts w:ascii="Times New Roman" w:hAnsi="Times New Roman" w:cs="Times New Roman"/>
        </w:rPr>
      </w:pPr>
      <w:r w:rsidRPr="007D0459">
        <w:rPr>
          <w:rFonts w:ascii="Times New Roman" w:hAnsi="Times New Roman" w:cs="Times New Roman"/>
        </w:rPr>
        <w:t>Accept requests by fax, phone, or online</w:t>
      </w:r>
    </w:p>
    <w:p w14:paraId="77DDD25E" w14:textId="77777777" w:rsidR="007D0459" w:rsidRPr="007D0459" w:rsidRDefault="007D0459" w:rsidP="00264D76">
      <w:pPr>
        <w:numPr>
          <w:ilvl w:val="0"/>
          <w:numId w:val="28"/>
        </w:numPr>
        <w:spacing w:after="80"/>
        <w:rPr>
          <w:rFonts w:ascii="Times New Roman" w:hAnsi="Times New Roman" w:cs="Times New Roman"/>
        </w:rPr>
      </w:pPr>
      <w:r w:rsidRPr="007D0459">
        <w:rPr>
          <w:rFonts w:ascii="Times New Roman" w:hAnsi="Times New Roman" w:cs="Times New Roman"/>
        </w:rPr>
        <w:t>Use auto-adjudication (automatic processing) to speed up approvals</w:t>
      </w:r>
    </w:p>
    <w:p w14:paraId="13DC5FC1" w14:textId="77777777" w:rsidR="007D0459" w:rsidRPr="007D0459" w:rsidRDefault="007D0459" w:rsidP="007D0459">
      <w:pPr>
        <w:numPr>
          <w:ilvl w:val="0"/>
          <w:numId w:val="28"/>
        </w:numPr>
        <w:rPr>
          <w:rFonts w:ascii="Times New Roman" w:hAnsi="Times New Roman" w:cs="Times New Roman"/>
        </w:rPr>
      </w:pPr>
      <w:r w:rsidRPr="007D0459">
        <w:rPr>
          <w:rFonts w:ascii="Times New Roman" w:hAnsi="Times New Roman" w:cs="Times New Roman"/>
        </w:rPr>
        <w:t>Review their prior authorization policies every year to improve quality and efficiency</w:t>
      </w:r>
    </w:p>
    <w:p w14:paraId="08522F7B"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If a request is denied, the insurer must explain why in writing and tell you how to appeal. You or your provider can also ask for an independent medical review in urgent cases.</w:t>
      </w:r>
    </w:p>
    <w:p w14:paraId="53F43648"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Over time, the law has expanded:</w:t>
      </w:r>
    </w:p>
    <w:p w14:paraId="5AD355A0" w14:textId="203E0929" w:rsidR="007D0459" w:rsidRPr="007D0459" w:rsidRDefault="007D0459" w:rsidP="00264D76">
      <w:pPr>
        <w:numPr>
          <w:ilvl w:val="0"/>
          <w:numId w:val="29"/>
        </w:numPr>
        <w:spacing w:after="80"/>
        <w:rPr>
          <w:rFonts w:ascii="Times New Roman" w:hAnsi="Times New Roman" w:cs="Times New Roman"/>
        </w:rPr>
      </w:pPr>
      <w:r w:rsidRPr="007D0459">
        <w:rPr>
          <w:rFonts w:ascii="Times New Roman" w:hAnsi="Times New Roman" w:cs="Times New Roman"/>
        </w:rPr>
        <w:t xml:space="preserve">In 2020–2021, insurers were required to use standard forms and electronic </w:t>
      </w:r>
      <w:r w:rsidR="00227282" w:rsidRPr="007D0459">
        <w:rPr>
          <w:rFonts w:ascii="Times New Roman" w:hAnsi="Times New Roman" w:cs="Times New Roman"/>
        </w:rPr>
        <w:t>systems</w:t>
      </w:r>
      <w:r w:rsidR="00227282">
        <w:rPr>
          <w:rFonts w:ascii="Times New Roman" w:hAnsi="Times New Roman" w:cs="Times New Roman"/>
        </w:rPr>
        <w:t>.</w:t>
      </w:r>
    </w:p>
    <w:p w14:paraId="56E75519" w14:textId="77777777" w:rsidR="006C60D9" w:rsidRDefault="007D0459" w:rsidP="006C60D9">
      <w:pPr>
        <w:numPr>
          <w:ilvl w:val="0"/>
          <w:numId w:val="29"/>
        </w:numPr>
        <w:spacing w:after="80"/>
        <w:rPr>
          <w:rFonts w:ascii="Times New Roman" w:hAnsi="Times New Roman" w:cs="Times New Roman"/>
        </w:rPr>
      </w:pPr>
      <w:r w:rsidRPr="007D0459">
        <w:rPr>
          <w:rFonts w:ascii="Times New Roman" w:hAnsi="Times New Roman" w:cs="Times New Roman"/>
        </w:rPr>
        <w:t xml:space="preserve">In 2023, timelines were updated for credentialing and authorization </w:t>
      </w:r>
      <w:r w:rsidR="00227282" w:rsidRPr="007D0459">
        <w:rPr>
          <w:rFonts w:ascii="Times New Roman" w:hAnsi="Times New Roman" w:cs="Times New Roman"/>
        </w:rPr>
        <w:t>decisions</w:t>
      </w:r>
      <w:r w:rsidR="00227282">
        <w:rPr>
          <w:rFonts w:ascii="Times New Roman" w:hAnsi="Times New Roman" w:cs="Times New Roman"/>
        </w:rPr>
        <w:t>.</w:t>
      </w:r>
    </w:p>
    <w:p w14:paraId="79C51CE9" w14:textId="35A6B129" w:rsidR="000C64ED" w:rsidRPr="006C60D9" w:rsidRDefault="000C64ED" w:rsidP="006C60D9">
      <w:pPr>
        <w:numPr>
          <w:ilvl w:val="0"/>
          <w:numId w:val="29"/>
        </w:numPr>
        <w:spacing w:after="80"/>
        <w:rPr>
          <w:rFonts w:ascii="Times New Roman" w:hAnsi="Times New Roman" w:cs="Times New Roman"/>
        </w:rPr>
      </w:pPr>
      <w:r w:rsidRPr="006C60D9">
        <w:rPr>
          <w:rFonts w:ascii="Times New Roman" w:hAnsi="Times New Roman" w:cs="Times New Roman"/>
        </w:rPr>
        <w:lastRenderedPageBreak/>
        <w:t xml:space="preserve">The goal is to ensure New Mexicans have timely access to care while maintaining fair and affordable coverage. OSI monitors insurer compliance and </w:t>
      </w:r>
      <w:r w:rsidR="00233149" w:rsidRPr="006C60D9">
        <w:rPr>
          <w:rFonts w:ascii="Times New Roman" w:hAnsi="Times New Roman" w:cs="Times New Roman"/>
        </w:rPr>
        <w:t>takes</w:t>
      </w:r>
      <w:r w:rsidRPr="006C60D9">
        <w:rPr>
          <w:rFonts w:ascii="Times New Roman" w:hAnsi="Times New Roman" w:cs="Times New Roman"/>
        </w:rPr>
        <w:t xml:space="preserve"> regulatory action when health care insurers fail to meet state standards. </w:t>
      </w:r>
    </w:p>
    <w:p w14:paraId="38A83575"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br w:type="page"/>
      </w:r>
    </w:p>
    <w:p w14:paraId="1E3A4C4D" w14:textId="77777777" w:rsidR="000E2D5B" w:rsidRPr="000E2D5B" w:rsidRDefault="000E2D5B" w:rsidP="000E2D5B">
      <w:pPr>
        <w:keepNext/>
        <w:keepLines/>
        <w:spacing w:before="360" w:after="80" w:line="259" w:lineRule="auto"/>
        <w:outlineLvl w:val="0"/>
        <w:rPr>
          <w:rFonts w:ascii="Times New Roman" w:eastAsia="Yu Gothic Light" w:hAnsi="Times New Roman" w:cs="Times New Roman"/>
          <w:b/>
          <w:bCs/>
          <w:color w:val="002060"/>
          <w:kern w:val="2"/>
          <w:sz w:val="28"/>
          <w:szCs w:val="28"/>
          <w14:ligatures w14:val="standardContextual"/>
        </w:rPr>
      </w:pPr>
      <w:bookmarkStart w:id="5" w:name="_Toc209356536"/>
      <w:r w:rsidRPr="000E2D5B">
        <w:rPr>
          <w:rFonts w:ascii="Times New Roman" w:eastAsia="Yu Gothic Light" w:hAnsi="Times New Roman" w:cs="Times New Roman"/>
          <w:b/>
          <w:bCs/>
          <w:color w:val="002060"/>
          <w:kern w:val="2"/>
          <w:sz w:val="28"/>
          <w:szCs w:val="28"/>
          <w14:ligatures w14:val="standardContextual"/>
        </w:rPr>
        <w:lastRenderedPageBreak/>
        <w:t>Key Statistics from Prior Authorization Reports</w:t>
      </w:r>
      <w:bookmarkEnd w:id="5"/>
    </w:p>
    <w:p w14:paraId="494A8494" w14:textId="77777777" w:rsidR="00202E9E" w:rsidRDefault="007D0459" w:rsidP="007D0459">
      <w:pPr>
        <w:rPr>
          <w:rFonts w:ascii="Times New Roman" w:hAnsi="Times New Roman" w:cs="Times New Roman"/>
        </w:rPr>
      </w:pPr>
      <w:r w:rsidRPr="007D0459">
        <w:rPr>
          <w:rFonts w:ascii="Times New Roman" w:hAnsi="Times New Roman" w:cs="Times New Roman"/>
        </w:rPr>
        <w:t xml:space="preserve">To better understand how prior authorization is working in practice, OSI collects detailed data from health insurers each year. These reports provide insight into the volume of prior authorization requests for both medical services and prescription drugs, how quickly insurers respond, and the outcomes of those requests. </w:t>
      </w:r>
    </w:p>
    <w:p w14:paraId="2DCE198C" w14:textId="0F765293" w:rsidR="007D0459" w:rsidRPr="007D0459" w:rsidRDefault="007D0459" w:rsidP="007D0459">
      <w:pPr>
        <w:rPr>
          <w:rFonts w:ascii="Times New Roman" w:hAnsi="Times New Roman" w:cs="Times New Roman"/>
        </w:rPr>
      </w:pPr>
      <w:r w:rsidRPr="007D0459">
        <w:rPr>
          <w:rFonts w:ascii="Times New Roman" w:hAnsi="Times New Roman" w:cs="Times New Roman"/>
        </w:rPr>
        <w:t>The following section highlights key statistics from health insurance plans, offering a snapshot of prior authorization activity across insurers in New Mexico.</w:t>
      </w:r>
    </w:p>
    <w:p w14:paraId="135BB5EA" w14:textId="77777777" w:rsidR="000E2D5B" w:rsidRPr="000E2D5B" w:rsidRDefault="000E2D5B" w:rsidP="000E2D5B">
      <w:pPr>
        <w:pStyle w:val="Heading2"/>
        <w:spacing w:after="160"/>
        <w:rPr>
          <w:color w:val="002060"/>
          <w:sz w:val="26"/>
          <w:szCs w:val="26"/>
        </w:rPr>
      </w:pPr>
      <w:bookmarkStart w:id="6" w:name="_Toc209356537"/>
      <w:r w:rsidRPr="000E2D5B">
        <w:rPr>
          <w:color w:val="002060"/>
          <w:sz w:val="26"/>
          <w:szCs w:val="26"/>
        </w:rPr>
        <w:t>Overall Prior Authorization Volume for All Health Insurers for 2023:</w:t>
      </w:r>
      <w:bookmarkEnd w:id="6"/>
    </w:p>
    <w:p w14:paraId="40B1FAE6" w14:textId="77777777" w:rsidR="007D0459" w:rsidRPr="00264D76" w:rsidRDefault="007D0459" w:rsidP="00264D76">
      <w:pPr>
        <w:pStyle w:val="ListParagraph"/>
        <w:numPr>
          <w:ilvl w:val="0"/>
          <w:numId w:val="30"/>
        </w:numPr>
        <w:rPr>
          <w:rFonts w:ascii="Times New Roman" w:hAnsi="Times New Roman" w:cs="Times New Roman"/>
        </w:rPr>
      </w:pPr>
      <w:r w:rsidRPr="00264D76">
        <w:rPr>
          <w:rFonts w:ascii="Times New Roman" w:hAnsi="Times New Roman" w:cs="Times New Roman"/>
        </w:rPr>
        <w:t>Total Prior Authorizations: 69,710</w:t>
      </w:r>
    </w:p>
    <w:p w14:paraId="06F32DF6" w14:textId="77777777" w:rsidR="007D0459" w:rsidRPr="00264D76" w:rsidRDefault="007D0459" w:rsidP="00264D76">
      <w:pPr>
        <w:pStyle w:val="ListParagraph"/>
        <w:numPr>
          <w:ilvl w:val="0"/>
          <w:numId w:val="30"/>
        </w:numPr>
        <w:rPr>
          <w:rFonts w:ascii="Times New Roman" w:hAnsi="Times New Roman" w:cs="Times New Roman"/>
        </w:rPr>
      </w:pPr>
      <w:r w:rsidRPr="00264D76">
        <w:rPr>
          <w:rFonts w:ascii="Times New Roman" w:hAnsi="Times New Roman" w:cs="Times New Roman"/>
        </w:rPr>
        <w:t>Year End Health Plan Membership: 145,155</w:t>
      </w:r>
    </w:p>
    <w:p w14:paraId="3A36F921"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In 2023, BCBSNM and PHP processed the highest number of prior authorizations and PHP had the highest rate per 1,000 members (Figure 1).  Using the rate of prior authorization per 1,000 members provides a rate that relates the number of prior authorizations to the total membership. This provides a standardized framework for comparing insurers, regardless of their membership size. </w:t>
      </w:r>
    </w:p>
    <w:p w14:paraId="6A003AC2"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w:drawing>
          <wp:inline distT="0" distB="0" distL="0" distR="0" wp14:anchorId="776E9CD9" wp14:editId="7156FBDB">
            <wp:extent cx="5365630" cy="3140015"/>
            <wp:effectExtent l="0" t="0" r="6985" b="3810"/>
            <wp:docPr id="1041028051" name="Chart 1">
              <a:extLst xmlns:a="http://schemas.openxmlformats.org/drawingml/2006/main">
                <a:ext uri="{FF2B5EF4-FFF2-40B4-BE49-F238E27FC236}">
                  <a16:creationId xmlns:a16="http://schemas.microsoft.com/office/drawing/2014/main" id="{93244ABB-FAE6-AC27-D748-EB6F3F391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DB012A" w14:textId="38786F12" w:rsidR="007D0459" w:rsidRDefault="007D0459" w:rsidP="007D0459">
      <w:pPr>
        <w:rPr>
          <w:rFonts w:ascii="Times New Roman" w:hAnsi="Times New Roman" w:cs="Times New Roman"/>
        </w:rPr>
      </w:pPr>
      <w:r w:rsidRPr="007D0459">
        <w:rPr>
          <w:rFonts w:ascii="Times New Roman" w:hAnsi="Times New Roman" w:cs="Times New Roman"/>
        </w:rPr>
        <w:t>Note: The per 1,000 rate reflects mandatory prior authorizations only and does not include recommended clinical reviews (RCR), which was a new process implemented by BCBSNM in September of 2023 for outpatient services and replaced mandatory prior authorization (see page 1</w:t>
      </w:r>
      <w:r w:rsidR="00E50258">
        <w:rPr>
          <w:rFonts w:ascii="Times New Roman" w:hAnsi="Times New Roman" w:cs="Times New Roman"/>
        </w:rPr>
        <w:t>3</w:t>
      </w:r>
      <w:r w:rsidRPr="007D0459">
        <w:rPr>
          <w:rFonts w:ascii="Times New Roman" w:hAnsi="Times New Roman" w:cs="Times New Roman"/>
        </w:rPr>
        <w:t xml:space="preserve"> for information regarding RCR).</w:t>
      </w:r>
    </w:p>
    <w:p w14:paraId="6E55E1B1" w14:textId="77777777" w:rsidR="00841477" w:rsidRPr="00841477" w:rsidRDefault="00841477" w:rsidP="00841477">
      <w:pPr>
        <w:rPr>
          <w:rFonts w:ascii="Times New Roman" w:hAnsi="Times New Roman" w:cs="Times New Roman"/>
        </w:rPr>
      </w:pPr>
    </w:p>
    <w:p w14:paraId="393EB369" w14:textId="77777777" w:rsidR="00841477" w:rsidRPr="00841477" w:rsidRDefault="00841477" w:rsidP="00841477">
      <w:pPr>
        <w:rPr>
          <w:rFonts w:ascii="Times New Roman" w:hAnsi="Times New Roman" w:cs="Times New Roman"/>
        </w:rPr>
      </w:pPr>
    </w:p>
    <w:p w14:paraId="7B454A87" w14:textId="77777777" w:rsidR="00841477" w:rsidRDefault="00841477" w:rsidP="00841477">
      <w:pPr>
        <w:rPr>
          <w:rFonts w:ascii="Times New Roman" w:hAnsi="Times New Roman" w:cs="Times New Roman"/>
        </w:rPr>
      </w:pPr>
    </w:p>
    <w:p w14:paraId="0A5B9E00" w14:textId="77C929BB" w:rsidR="00841477" w:rsidRPr="00841477" w:rsidRDefault="00841477" w:rsidP="00841477">
      <w:pPr>
        <w:tabs>
          <w:tab w:val="left" w:pos="8115"/>
        </w:tabs>
        <w:rPr>
          <w:rFonts w:ascii="Times New Roman" w:hAnsi="Times New Roman" w:cs="Times New Roman"/>
        </w:rPr>
      </w:pPr>
      <w:r>
        <w:rPr>
          <w:rFonts w:ascii="Times New Roman" w:hAnsi="Times New Roman" w:cs="Times New Roman"/>
        </w:rPr>
        <w:tab/>
      </w:r>
    </w:p>
    <w:p w14:paraId="2BD5205C" w14:textId="6002FC71" w:rsidR="00264D76" w:rsidRDefault="007D0459" w:rsidP="007D0459">
      <w:pPr>
        <w:rPr>
          <w:rFonts w:ascii="Times New Roman" w:hAnsi="Times New Roman" w:cs="Times New Roman"/>
        </w:rPr>
      </w:pPr>
      <w:r w:rsidRPr="007D0459">
        <w:rPr>
          <w:rFonts w:ascii="Times New Roman" w:hAnsi="Times New Roman" w:cs="Times New Roman"/>
          <w:noProof/>
        </w:rPr>
        <w:lastRenderedPageBreak/>
        <w:drawing>
          <wp:inline distT="0" distB="0" distL="0" distR="0" wp14:anchorId="43D6AFA5" wp14:editId="2D9A0425">
            <wp:extent cx="5917721" cy="3467819"/>
            <wp:effectExtent l="0" t="0" r="6985" b="18415"/>
            <wp:docPr id="990853265" name="Chart 1">
              <a:extLst xmlns:a="http://schemas.openxmlformats.org/drawingml/2006/main">
                <a:ext uri="{FF2B5EF4-FFF2-40B4-BE49-F238E27FC236}">
                  <a16:creationId xmlns:a16="http://schemas.microsoft.com/office/drawing/2014/main" id="{96E9C30E-06B5-0169-EF98-B3E4B0D8E3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C8762F" w14:textId="59031851" w:rsidR="007D0459" w:rsidRDefault="007D0459" w:rsidP="007D0459">
      <w:pPr>
        <w:rPr>
          <w:rFonts w:ascii="Times New Roman" w:hAnsi="Times New Roman" w:cs="Times New Roman"/>
        </w:rPr>
      </w:pPr>
      <w:r w:rsidRPr="007D0459">
        <w:rPr>
          <w:rFonts w:ascii="Times New Roman" w:hAnsi="Times New Roman" w:cs="Times New Roman"/>
        </w:rPr>
        <w:t>The proportion of prior authorizations does not always align with the percentage of members enrolled in each plan. BCBSNM accounted for 4</w:t>
      </w:r>
      <w:r w:rsidR="00E274A7">
        <w:rPr>
          <w:rFonts w:ascii="Times New Roman" w:hAnsi="Times New Roman" w:cs="Times New Roman"/>
        </w:rPr>
        <w:t>4</w:t>
      </w:r>
      <w:r w:rsidRPr="007D0459">
        <w:rPr>
          <w:rFonts w:ascii="Times New Roman" w:hAnsi="Times New Roman" w:cs="Times New Roman"/>
        </w:rPr>
        <w:t>% of the prior authorization volume but accounted for 56% of membership while Presbyterian made up 4</w:t>
      </w:r>
      <w:r w:rsidR="00E274A7">
        <w:rPr>
          <w:rFonts w:ascii="Times New Roman" w:hAnsi="Times New Roman" w:cs="Times New Roman"/>
        </w:rPr>
        <w:t>0</w:t>
      </w:r>
      <w:r w:rsidRPr="007D0459">
        <w:rPr>
          <w:rFonts w:ascii="Times New Roman" w:hAnsi="Times New Roman" w:cs="Times New Roman"/>
        </w:rPr>
        <w:t xml:space="preserve">% of the prior authorization volume but accounted for 17% of membership (Figure 2). </w:t>
      </w:r>
      <w:r w:rsidR="00791723" w:rsidRPr="007D0459">
        <w:rPr>
          <w:rFonts w:ascii="Times New Roman" w:hAnsi="Times New Roman" w:cs="Times New Roman"/>
        </w:rPr>
        <w:t>Each health insurer sets its own guidelines for determining which services require prior authorization based on the specifics of its plans (Figure 3).</w:t>
      </w:r>
    </w:p>
    <w:p w14:paraId="0FAEFD1F" w14:textId="6D9B62C0" w:rsidR="00791723" w:rsidRDefault="00B77F12" w:rsidP="007D0459">
      <w:pPr>
        <w:rPr>
          <w:rFonts w:ascii="Times New Roman" w:hAnsi="Times New Roman" w:cs="Times New Roman"/>
        </w:rPr>
      </w:pPr>
      <w:r w:rsidRPr="007D0459">
        <w:rPr>
          <w:rFonts w:ascii="Times New Roman" w:hAnsi="Times New Roman" w:cs="Times New Roman"/>
          <w:noProof/>
        </w:rPr>
        <w:drawing>
          <wp:anchor distT="0" distB="0" distL="114300" distR="114300" simplePos="0" relativeHeight="251661312" behindDoc="1" locked="0" layoutInCell="1" allowOverlap="1" wp14:anchorId="1011EFBE" wp14:editId="6A370ADA">
            <wp:simplePos x="0" y="0"/>
            <wp:positionH relativeFrom="margin">
              <wp:align>right</wp:align>
            </wp:positionH>
            <wp:positionV relativeFrom="margin">
              <wp:align>bottom</wp:align>
            </wp:positionV>
            <wp:extent cx="5925820" cy="3502025"/>
            <wp:effectExtent l="0" t="0" r="17780" b="3175"/>
            <wp:wrapTight wrapText="bothSides">
              <wp:wrapPolygon edited="0">
                <wp:start x="0" y="0"/>
                <wp:lineTo x="0" y="21502"/>
                <wp:lineTo x="21595" y="21502"/>
                <wp:lineTo x="21595" y="0"/>
                <wp:lineTo x="0" y="0"/>
              </wp:wrapPolygon>
            </wp:wrapTight>
            <wp:docPr id="1266774235" name="Chart 1">
              <a:extLst xmlns:a="http://schemas.openxmlformats.org/drawingml/2006/main">
                <a:ext uri="{FF2B5EF4-FFF2-40B4-BE49-F238E27FC236}">
                  <a16:creationId xmlns:a16="http://schemas.microsoft.com/office/drawing/2014/main" id="{25EBE2BA-88EC-0D1F-B5DA-DC6E5023E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95A4E52" w14:textId="77777777" w:rsidR="00791723" w:rsidRDefault="00791723" w:rsidP="007D0459">
      <w:pPr>
        <w:rPr>
          <w:rFonts w:ascii="Times New Roman" w:hAnsi="Times New Roman" w:cs="Times New Roman"/>
        </w:rPr>
      </w:pPr>
    </w:p>
    <w:p w14:paraId="7D490FD8" w14:textId="77777777" w:rsidR="00791723" w:rsidRPr="007D0459" w:rsidRDefault="00791723" w:rsidP="007D0459">
      <w:pPr>
        <w:rPr>
          <w:rFonts w:ascii="Times New Roman" w:hAnsi="Times New Roman" w:cs="Times New Roman"/>
        </w:rPr>
      </w:pPr>
    </w:p>
    <w:p w14:paraId="44317574" w14:textId="77777777" w:rsidR="00791723" w:rsidRPr="00791723" w:rsidRDefault="00791723" w:rsidP="00791723">
      <w:pPr>
        <w:keepNext/>
        <w:keepLines/>
        <w:spacing w:before="160" w:after="80" w:line="259" w:lineRule="auto"/>
        <w:outlineLvl w:val="1"/>
        <w:rPr>
          <w:rFonts w:ascii="Times New Roman" w:eastAsia="Yu Gothic Light" w:hAnsi="Times New Roman" w:cs="Times New Roman"/>
          <w:color w:val="002060"/>
          <w:kern w:val="2"/>
          <w:sz w:val="32"/>
          <w:szCs w:val="32"/>
          <w14:ligatures w14:val="standardContextual"/>
        </w:rPr>
      </w:pPr>
      <w:bookmarkStart w:id="7" w:name="_Toc209356538"/>
      <w:r w:rsidRPr="00791723">
        <w:rPr>
          <w:rFonts w:ascii="Times New Roman" w:eastAsia="Yu Gothic Light" w:hAnsi="Times New Roman" w:cs="Times New Roman"/>
          <w:color w:val="002060"/>
          <w:kern w:val="2"/>
          <w:sz w:val="32"/>
          <w:szCs w:val="32"/>
          <w14:ligatures w14:val="standardContextual"/>
        </w:rPr>
        <w:lastRenderedPageBreak/>
        <w:t>Distribution of Prior Authorization Requests, by Type of Service</w:t>
      </w:r>
      <w:bookmarkEnd w:id="7"/>
    </w:p>
    <w:p w14:paraId="103A62E4"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Insurers have different proportions of prior authorizations by type of service. This is likely due to different utilization management guidelines utilized at each plan (Figure 4).</w:t>
      </w:r>
    </w:p>
    <w:p w14:paraId="2AF07E00"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w:drawing>
          <wp:inline distT="0" distB="0" distL="0" distR="0" wp14:anchorId="5E0F87B7" wp14:editId="3010DACD">
            <wp:extent cx="5848709" cy="2777705"/>
            <wp:effectExtent l="0" t="0" r="0" b="3810"/>
            <wp:docPr id="1667039429" name="Chart 1">
              <a:extLst xmlns:a="http://schemas.openxmlformats.org/drawingml/2006/main">
                <a:ext uri="{FF2B5EF4-FFF2-40B4-BE49-F238E27FC236}">
                  <a16:creationId xmlns:a16="http://schemas.microsoft.com/office/drawing/2014/main" id="{FB1A5A8E-E93C-938E-6109-4C8946E6A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1E902D" w14:textId="77777777" w:rsidR="007D0459" w:rsidRPr="007D0459" w:rsidRDefault="007D0459" w:rsidP="007D0459">
      <w:pPr>
        <w:rPr>
          <w:rFonts w:ascii="Times New Roman" w:hAnsi="Times New Roman" w:cs="Times New Roman"/>
          <w:color w:val="002060"/>
        </w:rPr>
      </w:pPr>
    </w:p>
    <w:p w14:paraId="7C13ED03" w14:textId="77777777" w:rsidR="00791723" w:rsidRPr="00791723" w:rsidRDefault="00791723" w:rsidP="00791723">
      <w:pPr>
        <w:keepNext/>
        <w:keepLines/>
        <w:spacing w:before="160" w:after="80" w:line="259" w:lineRule="auto"/>
        <w:outlineLvl w:val="1"/>
        <w:rPr>
          <w:rFonts w:ascii="Times New Roman" w:eastAsia="Yu Gothic Light" w:hAnsi="Times New Roman" w:cs="Times New Roman"/>
          <w:color w:val="002060"/>
          <w:kern w:val="2"/>
          <w:sz w:val="32"/>
          <w:szCs w:val="32"/>
          <w14:ligatures w14:val="standardContextual"/>
        </w:rPr>
      </w:pPr>
      <w:bookmarkStart w:id="8" w:name="_Toc209356539"/>
      <w:r w:rsidRPr="00791723">
        <w:rPr>
          <w:rFonts w:ascii="Times New Roman" w:eastAsia="Yu Gothic Light" w:hAnsi="Times New Roman" w:cs="Times New Roman"/>
          <w:color w:val="002060"/>
          <w:kern w:val="2"/>
          <w:sz w:val="32"/>
          <w:szCs w:val="32"/>
          <w14:ligatures w14:val="standardContextual"/>
        </w:rPr>
        <w:t>Approval and Denial Rates by Insurer</w:t>
      </w:r>
      <w:bookmarkEnd w:id="8"/>
    </w:p>
    <w:p w14:paraId="55CE5488"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w:drawing>
          <wp:anchor distT="0" distB="0" distL="114300" distR="114300" simplePos="0" relativeHeight="251662336" behindDoc="0" locked="0" layoutInCell="1" allowOverlap="1" wp14:anchorId="0169F562" wp14:editId="3E9D8AF9">
            <wp:simplePos x="0" y="0"/>
            <wp:positionH relativeFrom="column">
              <wp:posOffset>68580</wp:posOffset>
            </wp:positionH>
            <wp:positionV relativeFrom="paragraph">
              <wp:posOffset>716280</wp:posOffset>
            </wp:positionV>
            <wp:extent cx="5796915" cy="3182620"/>
            <wp:effectExtent l="0" t="0" r="0" b="0"/>
            <wp:wrapTopAndBottom/>
            <wp:docPr id="2081101432" name="Chart 1">
              <a:extLst xmlns:a="http://schemas.openxmlformats.org/drawingml/2006/main">
                <a:ext uri="{FF2B5EF4-FFF2-40B4-BE49-F238E27FC236}">
                  <a16:creationId xmlns:a16="http://schemas.microsoft.com/office/drawing/2014/main" id="{A160279C-830A-662B-98E2-F2C1847B3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7D0459">
        <w:rPr>
          <w:rFonts w:ascii="Times New Roman" w:hAnsi="Times New Roman" w:cs="Times New Roman"/>
        </w:rPr>
        <w:t>Approval and denial rates vary by insurer. BCBSNM had the highest overall approval rate at 81% and United Healthcare of New Mexico had the lowest overall approval rate at 53% (Figure 5).</w:t>
      </w:r>
    </w:p>
    <w:p w14:paraId="678DD86B"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 </w:t>
      </w:r>
    </w:p>
    <w:p w14:paraId="5887701D" w14:textId="77777777" w:rsidR="0080543D" w:rsidRPr="0080543D" w:rsidRDefault="0080543D" w:rsidP="0080543D">
      <w:pPr>
        <w:keepNext/>
        <w:keepLines/>
        <w:spacing w:before="160" w:after="80" w:line="259" w:lineRule="auto"/>
        <w:outlineLvl w:val="1"/>
        <w:rPr>
          <w:rFonts w:ascii="Times New Roman" w:eastAsia="Yu Gothic Light" w:hAnsi="Times New Roman" w:cs="Times New Roman"/>
          <w:color w:val="002060"/>
          <w:kern w:val="2"/>
          <w:sz w:val="32"/>
          <w:szCs w:val="32"/>
          <w14:ligatures w14:val="standardContextual"/>
        </w:rPr>
      </w:pPr>
      <w:bookmarkStart w:id="9" w:name="_Toc209356540"/>
      <w:r w:rsidRPr="0080543D">
        <w:rPr>
          <w:rFonts w:ascii="Times New Roman" w:eastAsia="Yu Gothic Light" w:hAnsi="Times New Roman" w:cs="Times New Roman"/>
          <w:color w:val="002060"/>
          <w:kern w:val="2"/>
          <w:sz w:val="32"/>
          <w:szCs w:val="32"/>
          <w14:ligatures w14:val="standardContextual"/>
        </w:rPr>
        <w:lastRenderedPageBreak/>
        <w:t>Denial Rates by Insurer and Type of Service</w:t>
      </w:r>
      <w:bookmarkEnd w:id="9"/>
    </w:p>
    <w:p w14:paraId="71BD3399"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Denial rates also varied based on the type of service.  The following charts show denial rates for each insurer compared to the average rate of all New Mexico insurers combined. If there is no denial rate, the volume was either zero or very low and all prior authorizations in the given category were approved (Figure 6 – Figure 8).  </w:t>
      </w:r>
    </w:p>
    <w:p w14:paraId="027173F7" w14:textId="77777777" w:rsidR="007D0459" w:rsidRPr="007D0459" w:rsidRDefault="007D0459" w:rsidP="007D0459">
      <w:pPr>
        <w:rPr>
          <w:rFonts w:ascii="Times New Roman" w:hAnsi="Times New Roman" w:cs="Times New Roman"/>
          <w:sz w:val="24"/>
          <w:szCs w:val="24"/>
        </w:rPr>
      </w:pPr>
      <w:r w:rsidRPr="007D0459">
        <w:rPr>
          <w:rFonts w:ascii="Times New Roman" w:hAnsi="Times New Roman" w:cs="Times New Roman"/>
        </w:rPr>
        <w:t xml:space="preserve"> </w:t>
      </w:r>
      <w:bookmarkStart w:id="10" w:name="_Toc209356541"/>
      <w:r w:rsidRPr="007D0459">
        <w:rPr>
          <w:rFonts w:ascii="Times New Roman" w:hAnsi="Times New Roman" w:cs="Times New Roman"/>
          <w:color w:val="002060"/>
          <w:sz w:val="24"/>
          <w:szCs w:val="24"/>
        </w:rPr>
        <w:t>Inpatient Services</w:t>
      </w:r>
      <w:bookmarkEnd w:id="10"/>
    </w:p>
    <w:p w14:paraId="557A761D" w14:textId="7975106C" w:rsidR="007D0459" w:rsidRPr="007D0459" w:rsidRDefault="00541443" w:rsidP="007D0459">
      <w:pPr>
        <w:rPr>
          <w:rFonts w:ascii="Times New Roman" w:hAnsi="Times New Roman" w:cs="Times New Roman"/>
        </w:rPr>
      </w:pPr>
      <w:r w:rsidRPr="00B7288F">
        <w:rPr>
          <w:rFonts w:ascii="Times New Roman" w:hAnsi="Times New Roman" w:cs="Times New Roman"/>
          <w:b/>
          <w:bCs/>
          <w:noProof/>
        </w:rPr>
        <w:drawing>
          <wp:inline distT="0" distB="0" distL="0" distR="0" wp14:anchorId="1B0407AF" wp14:editId="5CD8F483">
            <wp:extent cx="4597879" cy="2536166"/>
            <wp:effectExtent l="0" t="0" r="0" b="0"/>
            <wp:docPr id="1888777068" name="Chart 1">
              <a:extLst xmlns:a="http://schemas.openxmlformats.org/drawingml/2006/main">
                <a:ext uri="{FF2B5EF4-FFF2-40B4-BE49-F238E27FC236}">
                  <a16:creationId xmlns:a16="http://schemas.microsoft.com/office/drawing/2014/main" id="{DF5D0B8F-C8FB-B705-228D-BF48EE7E6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D0459" w:rsidRPr="007D0459">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233AA24C" wp14:editId="1B710ADD">
                <wp:simplePos x="0" y="0"/>
                <wp:positionH relativeFrom="margin">
                  <wp:posOffset>4796203</wp:posOffset>
                </wp:positionH>
                <wp:positionV relativeFrom="paragraph">
                  <wp:posOffset>770819</wp:posOffset>
                </wp:positionV>
                <wp:extent cx="1584960" cy="1097280"/>
                <wp:effectExtent l="38100" t="38100" r="110490" b="1219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109728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3B1B487" w14:textId="77777777" w:rsidR="007D0459" w:rsidRPr="00A53919" w:rsidRDefault="007D0459" w:rsidP="007D0459">
                            <w:pPr>
                              <w:rPr>
                                <w:rFonts w:ascii="Times New Roman" w:hAnsi="Times New Roman" w:cs="Times New Roman"/>
                                <w:sz w:val="18"/>
                                <w:szCs w:val="18"/>
                              </w:rPr>
                            </w:pPr>
                            <w:r w:rsidRPr="00A53919">
                              <w:rPr>
                                <w:rFonts w:ascii="Times New Roman" w:hAnsi="Times New Roman" w:cs="Times New Roman"/>
                                <w:sz w:val="18"/>
                                <w:szCs w:val="18"/>
                              </w:rPr>
                              <w:t>Physical Health Denial Average – 5.5%</w:t>
                            </w:r>
                          </w:p>
                          <w:p w14:paraId="736756B6" w14:textId="77777777" w:rsidR="007D0459" w:rsidRPr="00A53919" w:rsidRDefault="007D0459" w:rsidP="007D0459">
                            <w:pPr>
                              <w:rPr>
                                <w:rFonts w:ascii="Times New Roman" w:hAnsi="Times New Roman" w:cs="Times New Roman"/>
                                <w:sz w:val="18"/>
                                <w:szCs w:val="18"/>
                              </w:rPr>
                            </w:pPr>
                            <w:r w:rsidRPr="00A53919">
                              <w:rPr>
                                <w:rFonts w:ascii="Times New Roman" w:hAnsi="Times New Roman" w:cs="Times New Roman"/>
                                <w:sz w:val="18"/>
                                <w:szCs w:val="18"/>
                              </w:rPr>
                              <w:t xml:space="preserve">Mental Health/Substance Use Disorder Treatment Denial Average - </w:t>
                            </w:r>
                            <w:r>
                              <w:rPr>
                                <w:rFonts w:ascii="Times New Roman" w:hAnsi="Times New Roman" w:cs="Times New Roman"/>
                                <w:sz w:val="18"/>
                                <w:szCs w:val="18"/>
                              </w:rPr>
                              <w:t>.9</w:t>
                            </w:r>
                            <w:r w:rsidRPr="00A53919">
                              <w:rPr>
                                <w:rFonts w:ascii="Times New Roman" w:hAnsi="Times New Roman" w:cs="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AA24C" id="_x0000_t202" coordsize="21600,21600" o:spt="202" path="m,l,21600r21600,l21600,xe">
                <v:stroke joinstyle="miter"/>
                <v:path gradientshapeok="t" o:connecttype="rect"/>
              </v:shapetype>
              <v:shape id="Text Box 2" o:spid="_x0000_s1026" type="#_x0000_t202" style="position:absolute;margin-left:377.65pt;margin-top:60.7pt;width:124.8pt;height:8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">
                <v:shadow on="t" color="black" opacity="26214f" origin="-.5,-.5" offset=".74836mm,.74836mm"/>
                <v:textbox>
                  <w:txbxContent>
                    <w:p w14:paraId="23B1B487" w14:textId="77777777" w:rsidR="007D0459" w:rsidRPr="00A53919" w:rsidRDefault="007D0459" w:rsidP="007D0459">
                      <w:pPr>
                        <w:rPr>
                          <w:rFonts w:ascii="Times New Roman" w:hAnsi="Times New Roman" w:cs="Times New Roman"/>
                          <w:sz w:val="18"/>
                          <w:szCs w:val="18"/>
                        </w:rPr>
                      </w:pPr>
                      <w:r w:rsidRPr="00A53919">
                        <w:rPr>
                          <w:rFonts w:ascii="Times New Roman" w:hAnsi="Times New Roman" w:cs="Times New Roman"/>
                          <w:sz w:val="18"/>
                          <w:szCs w:val="18"/>
                        </w:rPr>
                        <w:t>Physical Health Denial Average – 5.5%</w:t>
                      </w:r>
                    </w:p>
                    <w:p w14:paraId="736756B6" w14:textId="77777777" w:rsidR="007D0459" w:rsidRPr="00A53919" w:rsidRDefault="007D0459" w:rsidP="007D0459">
                      <w:pPr>
                        <w:rPr>
                          <w:rFonts w:ascii="Times New Roman" w:hAnsi="Times New Roman" w:cs="Times New Roman"/>
                          <w:sz w:val="18"/>
                          <w:szCs w:val="18"/>
                        </w:rPr>
                      </w:pPr>
                      <w:r w:rsidRPr="00A53919">
                        <w:rPr>
                          <w:rFonts w:ascii="Times New Roman" w:hAnsi="Times New Roman" w:cs="Times New Roman"/>
                          <w:sz w:val="18"/>
                          <w:szCs w:val="18"/>
                        </w:rPr>
                        <w:t xml:space="preserve">Mental Health/Substance Use Disorder Treatment Denial Average - </w:t>
                      </w:r>
                      <w:r>
                        <w:rPr>
                          <w:rFonts w:ascii="Times New Roman" w:hAnsi="Times New Roman" w:cs="Times New Roman"/>
                          <w:sz w:val="18"/>
                          <w:szCs w:val="18"/>
                        </w:rPr>
                        <w:t>.9</w:t>
                      </w:r>
                      <w:r w:rsidRPr="00A53919">
                        <w:rPr>
                          <w:rFonts w:ascii="Times New Roman" w:hAnsi="Times New Roman" w:cs="Times New Roman"/>
                          <w:sz w:val="18"/>
                          <w:szCs w:val="18"/>
                        </w:rPr>
                        <w:t>%</w:t>
                      </w:r>
                    </w:p>
                  </w:txbxContent>
                </v:textbox>
                <w10:wrap type="square" anchorx="margin"/>
              </v:shape>
            </w:pict>
          </mc:Fallback>
        </mc:AlternateContent>
      </w:r>
      <w:r w:rsidR="007D0459" w:rsidRPr="007D0459">
        <w:rPr>
          <w:rFonts w:ascii="Times New Roman" w:hAnsi="Times New Roman" w:cs="Times New Roman"/>
        </w:rPr>
        <w:t xml:space="preserve"> </w:t>
      </w:r>
    </w:p>
    <w:p w14:paraId="561216E5" w14:textId="77777777" w:rsidR="007D0459" w:rsidRPr="00187DE3" w:rsidRDefault="007D0459" w:rsidP="007D0459">
      <w:pPr>
        <w:rPr>
          <w:rFonts w:ascii="Times New Roman" w:hAnsi="Times New Roman" w:cs="Times New Roman"/>
          <w:color w:val="002060"/>
          <w:sz w:val="24"/>
          <w:szCs w:val="24"/>
        </w:rPr>
      </w:pPr>
      <w:bookmarkStart w:id="11" w:name="_Toc209356542"/>
      <w:r w:rsidRPr="00187DE3">
        <w:rPr>
          <w:rFonts w:ascii="Times New Roman" w:hAnsi="Times New Roman" w:cs="Times New Roman"/>
          <w:color w:val="002060"/>
          <w:sz w:val="24"/>
          <w:szCs w:val="24"/>
        </w:rPr>
        <w:t>Outpatient Services</w:t>
      </w:r>
      <w:bookmarkEnd w:id="11"/>
      <w:r w:rsidRPr="00187DE3">
        <w:rPr>
          <w:rFonts w:ascii="Times New Roman" w:hAnsi="Times New Roman" w:cs="Times New Roman"/>
          <w:color w:val="002060"/>
          <w:sz w:val="24"/>
          <w:szCs w:val="24"/>
        </w:rPr>
        <w:t xml:space="preserve">  </w:t>
      </w:r>
    </w:p>
    <w:p w14:paraId="0F05304D"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mc:AlternateContent>
          <mc:Choice Requires="wps">
            <w:drawing>
              <wp:anchor distT="45720" distB="45720" distL="114300" distR="114300" simplePos="0" relativeHeight="251660288" behindDoc="0" locked="0" layoutInCell="1" allowOverlap="1" wp14:anchorId="4768E6C8" wp14:editId="1E6A6298">
                <wp:simplePos x="0" y="0"/>
                <wp:positionH relativeFrom="margin">
                  <wp:posOffset>4792501</wp:posOffset>
                </wp:positionH>
                <wp:positionV relativeFrom="page">
                  <wp:posOffset>5962027</wp:posOffset>
                </wp:positionV>
                <wp:extent cx="1628775" cy="1076325"/>
                <wp:effectExtent l="57150" t="19050" r="85725" b="123825"/>
                <wp:wrapSquare wrapText="bothSides"/>
                <wp:docPr id="635132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76325"/>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5E7682BF" w14:textId="77777777" w:rsidR="007D0459" w:rsidRPr="00277CF7" w:rsidRDefault="007D0459" w:rsidP="007D0459">
                            <w:pPr>
                              <w:rPr>
                                <w:rFonts w:ascii="Times New Roman" w:hAnsi="Times New Roman" w:cs="Times New Roman"/>
                                <w:sz w:val="18"/>
                                <w:szCs w:val="18"/>
                              </w:rPr>
                            </w:pPr>
                            <w:r w:rsidRPr="00277CF7">
                              <w:rPr>
                                <w:rFonts w:ascii="Times New Roman" w:hAnsi="Times New Roman" w:cs="Times New Roman"/>
                                <w:sz w:val="18"/>
                                <w:szCs w:val="18"/>
                              </w:rPr>
                              <w:t>Physical Health Denial Average – 16.3%</w:t>
                            </w:r>
                          </w:p>
                          <w:p w14:paraId="0382B255" w14:textId="77777777" w:rsidR="007D0459" w:rsidRPr="00277CF7" w:rsidRDefault="007D0459" w:rsidP="007D0459">
                            <w:pPr>
                              <w:rPr>
                                <w:rFonts w:ascii="Times New Roman" w:hAnsi="Times New Roman" w:cs="Times New Roman"/>
                                <w:sz w:val="18"/>
                                <w:szCs w:val="18"/>
                              </w:rPr>
                            </w:pPr>
                            <w:r w:rsidRPr="00277CF7">
                              <w:rPr>
                                <w:rFonts w:ascii="Times New Roman" w:hAnsi="Times New Roman" w:cs="Times New Roman"/>
                                <w:sz w:val="18"/>
                                <w:szCs w:val="18"/>
                              </w:rPr>
                              <w:t>Mental Health/Substance Use Disorder Treatment Denial Average – 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8E6C8" id="_x0000_s1027" type="#_x0000_t202" style="position:absolute;margin-left:377.35pt;margin-top:469.45pt;width:128.25pt;height:84.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">
                <v:shadow on="t" color="black" opacity="26214f" origin=",-.5" offset="0,3pt"/>
                <v:textbox>
                  <w:txbxContent>
                    <w:p w14:paraId="5E7682BF" w14:textId="77777777" w:rsidR="007D0459" w:rsidRPr="00277CF7" w:rsidRDefault="007D0459" w:rsidP="007D0459">
                      <w:pPr>
                        <w:rPr>
                          <w:rFonts w:ascii="Times New Roman" w:hAnsi="Times New Roman" w:cs="Times New Roman"/>
                          <w:sz w:val="18"/>
                          <w:szCs w:val="18"/>
                        </w:rPr>
                      </w:pPr>
                      <w:r w:rsidRPr="00277CF7">
                        <w:rPr>
                          <w:rFonts w:ascii="Times New Roman" w:hAnsi="Times New Roman" w:cs="Times New Roman"/>
                          <w:sz w:val="18"/>
                          <w:szCs w:val="18"/>
                        </w:rPr>
                        <w:t>Physical Health Denial Average – 16.3%</w:t>
                      </w:r>
                    </w:p>
                    <w:p w14:paraId="0382B255" w14:textId="77777777" w:rsidR="007D0459" w:rsidRPr="00277CF7" w:rsidRDefault="007D0459" w:rsidP="007D0459">
                      <w:pPr>
                        <w:rPr>
                          <w:rFonts w:ascii="Times New Roman" w:hAnsi="Times New Roman" w:cs="Times New Roman"/>
                          <w:sz w:val="18"/>
                          <w:szCs w:val="18"/>
                        </w:rPr>
                      </w:pPr>
                      <w:r w:rsidRPr="00277CF7">
                        <w:rPr>
                          <w:rFonts w:ascii="Times New Roman" w:hAnsi="Times New Roman" w:cs="Times New Roman"/>
                          <w:sz w:val="18"/>
                          <w:szCs w:val="18"/>
                        </w:rPr>
                        <w:t>Mental Health/Substance Use Disorder Treatment Denial Average – 6.2%</w:t>
                      </w:r>
                    </w:p>
                  </w:txbxContent>
                </v:textbox>
                <w10:wrap type="square" anchorx="margin" anchory="page"/>
              </v:shape>
            </w:pict>
          </mc:Fallback>
        </mc:AlternateContent>
      </w:r>
      <w:r w:rsidRPr="007D0459">
        <w:rPr>
          <w:rFonts w:ascii="Times New Roman" w:hAnsi="Times New Roman" w:cs="Times New Roman"/>
          <w:noProof/>
        </w:rPr>
        <w:drawing>
          <wp:inline distT="0" distB="0" distL="0" distR="0" wp14:anchorId="7255362F" wp14:editId="43E96191">
            <wp:extent cx="4572000" cy="2631056"/>
            <wp:effectExtent l="0" t="0" r="0" b="0"/>
            <wp:docPr id="1741924737" name="Chart 1">
              <a:extLst xmlns:a="http://schemas.openxmlformats.org/drawingml/2006/main">
                <a:ext uri="{FF2B5EF4-FFF2-40B4-BE49-F238E27FC236}">
                  <a16:creationId xmlns:a16="http://schemas.microsoft.com/office/drawing/2014/main" id="{B7026D27-EA95-148B-DE9C-D7DF47762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1ABD08" w14:textId="03E3DA96" w:rsidR="007D0459" w:rsidRPr="007D0459" w:rsidRDefault="00D12177" w:rsidP="007D0459">
      <w:pPr>
        <w:rPr>
          <w:rFonts w:ascii="Times New Roman" w:hAnsi="Times New Roman" w:cs="Times New Roman"/>
        </w:rPr>
      </w:pPr>
      <w:r w:rsidRPr="002032AB">
        <w:rPr>
          <w:rFonts w:ascii="Times New Roman" w:hAnsi="Times New Roman" w:cs="Times New Roman"/>
          <w:noProof/>
        </w:rPr>
        <w:drawing>
          <wp:inline distT="0" distB="0" distL="0" distR="0" wp14:anchorId="57456E6E" wp14:editId="2844D37E">
            <wp:extent cx="3772426" cy="752580"/>
            <wp:effectExtent l="0" t="0" r="0" b="9525"/>
            <wp:docPr id="23504652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46520" name="Picture 1" descr="A white background with black text&#10;&#10;AI-generated content may be incorrect."/>
                    <pic:cNvPicPr/>
                  </pic:nvPicPr>
                  <pic:blipFill>
                    <a:blip r:embed="rId18"/>
                    <a:stretch>
                      <a:fillRect/>
                    </a:stretch>
                  </pic:blipFill>
                  <pic:spPr>
                    <a:xfrm>
                      <a:off x="0" y="0"/>
                      <a:ext cx="3772426" cy="752580"/>
                    </a:xfrm>
                    <a:prstGeom prst="rect">
                      <a:avLst/>
                    </a:prstGeom>
                  </pic:spPr>
                </pic:pic>
              </a:graphicData>
            </a:graphic>
          </wp:inline>
        </w:drawing>
      </w:r>
    </w:p>
    <w:p w14:paraId="7DD2CB8C" w14:textId="7E92449A" w:rsidR="007D0459" w:rsidRPr="007D0459" w:rsidRDefault="007D0459" w:rsidP="007D0459">
      <w:pPr>
        <w:rPr>
          <w:rFonts w:ascii="Times New Roman" w:hAnsi="Times New Roman" w:cs="Times New Roman"/>
        </w:rPr>
      </w:pPr>
    </w:p>
    <w:p w14:paraId="1AD7AC6D" w14:textId="77777777" w:rsidR="007D0459" w:rsidRPr="00187DE3" w:rsidRDefault="007D0459" w:rsidP="007D0459">
      <w:pPr>
        <w:rPr>
          <w:rFonts w:ascii="Times New Roman" w:hAnsi="Times New Roman" w:cs="Times New Roman"/>
          <w:color w:val="002060"/>
          <w:sz w:val="24"/>
          <w:szCs w:val="24"/>
        </w:rPr>
      </w:pPr>
      <w:bookmarkStart w:id="12" w:name="_Toc209356543"/>
      <w:r w:rsidRPr="00187DE3">
        <w:rPr>
          <w:rFonts w:ascii="Times New Roman" w:hAnsi="Times New Roman" w:cs="Times New Roman"/>
          <w:color w:val="002060"/>
          <w:sz w:val="24"/>
          <w:szCs w:val="24"/>
        </w:rPr>
        <w:lastRenderedPageBreak/>
        <w:t>Pharmacy Services</w:t>
      </w:r>
      <w:bookmarkEnd w:id="12"/>
    </w:p>
    <w:p w14:paraId="5EFEA118"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37C49D9" wp14:editId="6229F92C">
                <wp:simplePos x="0" y="0"/>
                <wp:positionH relativeFrom="column">
                  <wp:posOffset>4959566</wp:posOffset>
                </wp:positionH>
                <wp:positionV relativeFrom="page">
                  <wp:posOffset>2106235</wp:posOffset>
                </wp:positionV>
                <wp:extent cx="1317625" cy="1430020"/>
                <wp:effectExtent l="57150" t="19050" r="73025" b="113030"/>
                <wp:wrapThrough wrapText="bothSides">
                  <wp:wrapPolygon edited="0">
                    <wp:start x="-625" y="-288"/>
                    <wp:lineTo x="-937" y="0"/>
                    <wp:lineTo x="-937" y="22732"/>
                    <wp:lineTo x="-625" y="23020"/>
                    <wp:lineTo x="22173" y="23020"/>
                    <wp:lineTo x="22485" y="18703"/>
                    <wp:lineTo x="22485" y="4604"/>
                    <wp:lineTo x="22173" y="288"/>
                    <wp:lineTo x="22173" y="-288"/>
                    <wp:lineTo x="-625" y="-288"/>
                  </wp:wrapPolygon>
                </wp:wrapThrough>
                <wp:docPr id="1261290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30020"/>
                        </a:xfrm>
                        <a:prstGeom prst="rect">
                          <a:avLst/>
                        </a:prstGeom>
                        <a:solidFill>
                          <a:srgbClr val="FFFFFF"/>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48000B4B" w14:textId="427EB6B1" w:rsidR="007D0459" w:rsidRPr="0038658F" w:rsidRDefault="007D0459" w:rsidP="007D0459">
                            <w:pPr>
                              <w:rPr>
                                <w:rFonts w:ascii="Times New Roman" w:hAnsi="Times New Roman" w:cs="Times New Roman"/>
                                <w:sz w:val="18"/>
                                <w:szCs w:val="18"/>
                              </w:rPr>
                            </w:pPr>
                            <w:r w:rsidRPr="0038658F">
                              <w:rPr>
                                <w:rFonts w:ascii="Times New Roman" w:hAnsi="Times New Roman" w:cs="Times New Roman"/>
                                <w:sz w:val="18"/>
                                <w:szCs w:val="18"/>
                              </w:rPr>
                              <w:t>Physical Health Denial Average – 4</w:t>
                            </w:r>
                            <w:r w:rsidR="00841477">
                              <w:rPr>
                                <w:rFonts w:ascii="Times New Roman" w:hAnsi="Times New Roman" w:cs="Times New Roman"/>
                                <w:sz w:val="18"/>
                                <w:szCs w:val="18"/>
                              </w:rPr>
                              <w:t>6.8</w:t>
                            </w:r>
                            <w:r w:rsidRPr="0038658F">
                              <w:rPr>
                                <w:rFonts w:ascii="Times New Roman" w:hAnsi="Times New Roman" w:cs="Times New Roman"/>
                                <w:sz w:val="18"/>
                                <w:szCs w:val="18"/>
                              </w:rPr>
                              <w:t>%</w:t>
                            </w:r>
                          </w:p>
                          <w:p w14:paraId="44BE20BA" w14:textId="12336AE3" w:rsidR="007D0459" w:rsidRPr="0038658F" w:rsidRDefault="007D0459" w:rsidP="007D0459">
                            <w:pPr>
                              <w:rPr>
                                <w:rFonts w:ascii="Times New Roman" w:hAnsi="Times New Roman" w:cs="Times New Roman"/>
                                <w:sz w:val="18"/>
                                <w:szCs w:val="18"/>
                              </w:rPr>
                            </w:pPr>
                            <w:r w:rsidRPr="0038658F">
                              <w:rPr>
                                <w:rFonts w:ascii="Times New Roman" w:hAnsi="Times New Roman" w:cs="Times New Roman"/>
                                <w:sz w:val="18"/>
                                <w:szCs w:val="18"/>
                              </w:rPr>
                              <w:t>Mental Health/Substance Use Disorder Treatment Denial Average – 54.</w:t>
                            </w:r>
                            <w:r w:rsidR="00841477">
                              <w:rPr>
                                <w:rFonts w:ascii="Times New Roman" w:hAnsi="Times New Roman" w:cs="Times New Roman"/>
                                <w:sz w:val="18"/>
                                <w:szCs w:val="18"/>
                              </w:rPr>
                              <w:t>8</w:t>
                            </w:r>
                            <w:r w:rsidRPr="0038658F">
                              <w:rPr>
                                <w:rFonts w:ascii="Times New Roman" w:hAnsi="Times New Roman" w:cs="Times New Roman"/>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C49D9" id="_x0000_s1028" type="#_x0000_t202" style="position:absolute;margin-left:390.5pt;margin-top:165.85pt;width:103.75pt;height:1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">
                <v:shadow on="t" color="black" opacity="26214f" origin=",-.5" offset="0,3pt"/>
                <v:textbox>
                  <w:txbxContent>
                    <w:p w14:paraId="48000B4B" w14:textId="427EB6B1" w:rsidR="007D0459" w:rsidRPr="0038658F" w:rsidRDefault="007D0459" w:rsidP="007D0459">
                      <w:pPr>
                        <w:rPr>
                          <w:rFonts w:ascii="Times New Roman" w:hAnsi="Times New Roman" w:cs="Times New Roman"/>
                          <w:sz w:val="18"/>
                          <w:szCs w:val="18"/>
                        </w:rPr>
                      </w:pPr>
                      <w:r w:rsidRPr="0038658F">
                        <w:rPr>
                          <w:rFonts w:ascii="Times New Roman" w:hAnsi="Times New Roman" w:cs="Times New Roman"/>
                          <w:sz w:val="18"/>
                          <w:szCs w:val="18"/>
                        </w:rPr>
                        <w:t>Physical Health Denial Average – 4</w:t>
                      </w:r>
                      <w:r w:rsidR="00841477">
                        <w:rPr>
                          <w:rFonts w:ascii="Times New Roman" w:hAnsi="Times New Roman" w:cs="Times New Roman"/>
                          <w:sz w:val="18"/>
                          <w:szCs w:val="18"/>
                        </w:rPr>
                        <w:t>6.8</w:t>
                      </w:r>
                      <w:r w:rsidRPr="0038658F">
                        <w:rPr>
                          <w:rFonts w:ascii="Times New Roman" w:hAnsi="Times New Roman" w:cs="Times New Roman"/>
                          <w:sz w:val="18"/>
                          <w:szCs w:val="18"/>
                        </w:rPr>
                        <w:t>%</w:t>
                      </w:r>
                    </w:p>
                    <w:p w14:paraId="44BE20BA" w14:textId="12336AE3" w:rsidR="007D0459" w:rsidRPr="0038658F" w:rsidRDefault="007D0459" w:rsidP="007D0459">
                      <w:pPr>
                        <w:rPr>
                          <w:rFonts w:ascii="Times New Roman" w:hAnsi="Times New Roman" w:cs="Times New Roman"/>
                          <w:sz w:val="18"/>
                          <w:szCs w:val="18"/>
                        </w:rPr>
                      </w:pPr>
                      <w:r w:rsidRPr="0038658F">
                        <w:rPr>
                          <w:rFonts w:ascii="Times New Roman" w:hAnsi="Times New Roman" w:cs="Times New Roman"/>
                          <w:sz w:val="18"/>
                          <w:szCs w:val="18"/>
                        </w:rPr>
                        <w:t>Mental Health/Substance Use Disorder Treatment Denial Average – 54.</w:t>
                      </w:r>
                      <w:r w:rsidR="00841477">
                        <w:rPr>
                          <w:rFonts w:ascii="Times New Roman" w:hAnsi="Times New Roman" w:cs="Times New Roman"/>
                          <w:sz w:val="18"/>
                          <w:szCs w:val="18"/>
                        </w:rPr>
                        <w:t>8</w:t>
                      </w:r>
                      <w:r w:rsidRPr="0038658F">
                        <w:rPr>
                          <w:rFonts w:ascii="Times New Roman" w:hAnsi="Times New Roman" w:cs="Times New Roman"/>
                          <w:sz w:val="18"/>
                          <w:szCs w:val="18"/>
                        </w:rPr>
                        <w:t>%</w:t>
                      </w:r>
                    </w:p>
                  </w:txbxContent>
                </v:textbox>
                <w10:wrap type="through" anchory="page"/>
              </v:shape>
            </w:pict>
          </mc:Fallback>
        </mc:AlternateContent>
      </w:r>
      <w:r w:rsidRPr="007D0459">
        <w:rPr>
          <w:rFonts w:ascii="Times New Roman" w:hAnsi="Times New Roman" w:cs="Times New Roman"/>
          <w:noProof/>
        </w:rPr>
        <w:drawing>
          <wp:inline distT="0" distB="0" distL="0" distR="0" wp14:anchorId="7F490A09" wp14:editId="18A1CE2F">
            <wp:extent cx="4744528" cy="3683480"/>
            <wp:effectExtent l="0" t="0" r="0" b="0"/>
            <wp:docPr id="1288809171" name="Chart 1">
              <a:extLst xmlns:a="http://schemas.openxmlformats.org/drawingml/2006/main">
                <a:ext uri="{FF2B5EF4-FFF2-40B4-BE49-F238E27FC236}">
                  <a16:creationId xmlns:a16="http://schemas.microsoft.com/office/drawing/2014/main" id="{36B17909-9CD7-967C-7354-7B1D3B85B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770B34" w14:textId="532629BD" w:rsidR="007D0459" w:rsidRPr="007D0459" w:rsidRDefault="00D12177" w:rsidP="007D0459">
      <w:pPr>
        <w:rPr>
          <w:rFonts w:ascii="Times New Roman" w:hAnsi="Times New Roman" w:cs="Times New Roman"/>
        </w:rPr>
      </w:pPr>
      <w:r w:rsidRPr="00D12177">
        <w:rPr>
          <w:rFonts w:ascii="Times New Roman" w:hAnsi="Times New Roman" w:cs="Times New Roman"/>
          <w:noProof/>
        </w:rPr>
        <w:drawing>
          <wp:inline distT="0" distB="0" distL="0" distR="0" wp14:anchorId="7A1C286D" wp14:editId="4D745CEB">
            <wp:extent cx="3772426" cy="752580"/>
            <wp:effectExtent l="0" t="0" r="0" b="9525"/>
            <wp:docPr id="199885815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58150" name="Picture 1" descr="A white background with black text&#10;&#10;AI-generated content may be incorrect."/>
                    <pic:cNvPicPr/>
                  </pic:nvPicPr>
                  <pic:blipFill>
                    <a:blip r:embed="rId18"/>
                    <a:stretch>
                      <a:fillRect/>
                    </a:stretch>
                  </pic:blipFill>
                  <pic:spPr>
                    <a:xfrm>
                      <a:off x="0" y="0"/>
                      <a:ext cx="3772426" cy="752580"/>
                    </a:xfrm>
                    <a:prstGeom prst="rect">
                      <a:avLst/>
                    </a:prstGeom>
                  </pic:spPr>
                </pic:pic>
              </a:graphicData>
            </a:graphic>
          </wp:inline>
        </w:drawing>
      </w:r>
    </w:p>
    <w:p w14:paraId="16F5C2E7"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During the reporting period, Cigna had no inpatient prior authorizations and Presbyterian Insurance Company had twenty inpatient prior authorizations and all twenty authorizations were approved.</w:t>
      </w:r>
    </w:p>
    <w:p w14:paraId="6D42D8CE" w14:textId="77777777" w:rsidR="007D0459" w:rsidRPr="007D0459" w:rsidRDefault="007D0459" w:rsidP="007D0459">
      <w:pPr>
        <w:rPr>
          <w:rFonts w:ascii="Times New Roman" w:hAnsi="Times New Roman" w:cs="Times New Roman"/>
        </w:rPr>
      </w:pPr>
    </w:p>
    <w:p w14:paraId="38843C37" w14:textId="77777777" w:rsidR="007D0459" w:rsidRPr="007D0459" w:rsidRDefault="007D0459" w:rsidP="007D0459">
      <w:pPr>
        <w:rPr>
          <w:rFonts w:ascii="Times New Roman" w:hAnsi="Times New Roman" w:cs="Times New Roman"/>
        </w:rPr>
      </w:pPr>
    </w:p>
    <w:p w14:paraId="4406DAAE" w14:textId="77777777" w:rsidR="007D0459" w:rsidRPr="007D0459" w:rsidRDefault="007D0459" w:rsidP="007D0459">
      <w:pPr>
        <w:rPr>
          <w:rFonts w:ascii="Times New Roman" w:hAnsi="Times New Roman" w:cs="Times New Roman"/>
        </w:rPr>
      </w:pPr>
    </w:p>
    <w:p w14:paraId="560010BD" w14:textId="77777777" w:rsidR="007D0459" w:rsidRPr="007D0459" w:rsidRDefault="007D0459" w:rsidP="007D0459">
      <w:pPr>
        <w:rPr>
          <w:rFonts w:ascii="Times New Roman" w:hAnsi="Times New Roman" w:cs="Times New Roman"/>
        </w:rPr>
      </w:pPr>
    </w:p>
    <w:p w14:paraId="5B8F0018" w14:textId="77777777" w:rsidR="007D0459" w:rsidRPr="007D0459" w:rsidRDefault="007D0459" w:rsidP="007D0459">
      <w:pPr>
        <w:rPr>
          <w:rFonts w:ascii="Times New Roman" w:hAnsi="Times New Roman" w:cs="Times New Roman"/>
        </w:rPr>
      </w:pPr>
    </w:p>
    <w:p w14:paraId="180385F8" w14:textId="77777777" w:rsidR="007D0459" w:rsidRPr="007D0459" w:rsidRDefault="007D0459" w:rsidP="007D0459">
      <w:pPr>
        <w:rPr>
          <w:rFonts w:ascii="Times New Roman" w:hAnsi="Times New Roman" w:cs="Times New Roman"/>
        </w:rPr>
      </w:pPr>
    </w:p>
    <w:p w14:paraId="5A372820" w14:textId="77777777" w:rsidR="007D0459" w:rsidRPr="007D0459" w:rsidRDefault="007D0459" w:rsidP="007D0459">
      <w:pPr>
        <w:rPr>
          <w:rFonts w:ascii="Times New Roman" w:hAnsi="Times New Roman" w:cs="Times New Roman"/>
        </w:rPr>
      </w:pPr>
    </w:p>
    <w:p w14:paraId="110B33D6" w14:textId="77777777" w:rsidR="007D0459" w:rsidRPr="007D0459" w:rsidRDefault="007D0459" w:rsidP="007D0459">
      <w:pPr>
        <w:rPr>
          <w:rFonts w:ascii="Times New Roman" w:hAnsi="Times New Roman" w:cs="Times New Roman"/>
        </w:rPr>
      </w:pPr>
    </w:p>
    <w:p w14:paraId="75D054E8" w14:textId="77777777" w:rsidR="007D0459" w:rsidRPr="007D0459" w:rsidRDefault="007D0459" w:rsidP="007D0459">
      <w:pPr>
        <w:rPr>
          <w:rFonts w:ascii="Times New Roman" w:hAnsi="Times New Roman" w:cs="Times New Roman"/>
        </w:rPr>
      </w:pPr>
    </w:p>
    <w:p w14:paraId="0400BFCE" w14:textId="77777777" w:rsidR="0080543D" w:rsidRPr="0080543D" w:rsidRDefault="0080543D" w:rsidP="00187DE3">
      <w:pPr>
        <w:keepNext/>
        <w:keepLines/>
        <w:spacing w:before="360" w:line="259" w:lineRule="auto"/>
        <w:outlineLvl w:val="0"/>
        <w:rPr>
          <w:rFonts w:ascii="Times New Roman" w:eastAsia="Yu Gothic Light" w:hAnsi="Times New Roman" w:cs="Times New Roman"/>
          <w:b/>
          <w:bCs/>
          <w:color w:val="002060"/>
          <w:kern w:val="2"/>
          <w:sz w:val="28"/>
          <w:szCs w:val="28"/>
          <w14:ligatures w14:val="standardContextual"/>
        </w:rPr>
      </w:pPr>
      <w:bookmarkStart w:id="13" w:name="_Toc209356544"/>
      <w:r w:rsidRPr="0080543D">
        <w:rPr>
          <w:rFonts w:ascii="Times New Roman" w:eastAsia="Yu Gothic Light" w:hAnsi="Times New Roman" w:cs="Times New Roman"/>
          <w:b/>
          <w:bCs/>
          <w:color w:val="002060"/>
          <w:kern w:val="2"/>
          <w:sz w:val="28"/>
          <w:szCs w:val="28"/>
          <w14:ligatures w14:val="standardContextual"/>
        </w:rPr>
        <w:lastRenderedPageBreak/>
        <w:t>Recommended Clinical Review</w:t>
      </w:r>
      <w:bookmarkEnd w:id="13"/>
    </w:p>
    <w:p w14:paraId="0C55B850"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 September 2023, BCBSNM introduced Recommended Clinical Review (RCR), which is a voluntary written request by a member or provider to determine if a proposed treatment or service is covered under a patient’s health benefit plan.  During this review, the experts evaluating the clinical recommendation will decide if they concur with the provider that the treatment is appropriate.</w:t>
      </w:r>
    </w:p>
    <w:p w14:paraId="4F8C8FF5"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Recommended clinical reviews are done prior to receiving services and approval depends on the information that the doctor/provider sends to BCBSNM medical staff.</w:t>
      </w:r>
    </w:p>
    <w:p w14:paraId="5E7B7B00"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From September to December 2023, BCBSNM processed 6,905 recommended clinical reviews and had similar denial rates to the denial rates for BCBSNM’s mandatory outpatient prior authorization program (Figure 9).  When BCBSNM implemented the RCR program, it removed mandatory prior authorization requirements for outpatient services.</w:t>
      </w:r>
    </w:p>
    <w:p w14:paraId="422A9667" w14:textId="77777777" w:rsidR="007D0459" w:rsidRPr="007D0459" w:rsidRDefault="007D0459" w:rsidP="007D0459">
      <w:pPr>
        <w:rPr>
          <w:rFonts w:ascii="Times New Roman" w:hAnsi="Times New Roman" w:cs="Times New Roman"/>
        </w:rPr>
      </w:pPr>
    </w:p>
    <w:p w14:paraId="76D8BA5E"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w:drawing>
          <wp:inline distT="0" distB="0" distL="0" distR="0" wp14:anchorId="16E30D64" wp14:editId="3F7972B3">
            <wp:extent cx="4831080" cy="2804160"/>
            <wp:effectExtent l="0" t="0" r="7620" b="15240"/>
            <wp:docPr id="106629659" name="Chart 1">
              <a:extLst xmlns:a="http://schemas.openxmlformats.org/drawingml/2006/main">
                <a:ext uri="{FF2B5EF4-FFF2-40B4-BE49-F238E27FC236}">
                  <a16:creationId xmlns:a16="http://schemas.microsoft.com/office/drawing/2014/main" id="{145F3D7E-FD92-0780-5A27-552E41D59C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F38E5AB" w14:textId="77777777" w:rsidR="0080543D" w:rsidRPr="0080543D" w:rsidRDefault="0080543D" w:rsidP="0080543D">
      <w:pPr>
        <w:pStyle w:val="Heading1"/>
        <w:rPr>
          <w:rFonts w:ascii="Times New Roman" w:hAnsi="Times New Roman" w:cs="Times New Roman"/>
          <w:b/>
          <w:bCs/>
          <w:color w:val="002060"/>
          <w:sz w:val="28"/>
          <w:szCs w:val="28"/>
        </w:rPr>
      </w:pPr>
      <w:bookmarkStart w:id="14" w:name="_Toc209356545"/>
      <w:r w:rsidRPr="0080543D">
        <w:rPr>
          <w:rFonts w:ascii="Times New Roman" w:hAnsi="Times New Roman" w:cs="Times New Roman"/>
          <w:b/>
          <w:bCs/>
          <w:color w:val="002060"/>
          <w:sz w:val="28"/>
          <w:szCs w:val="28"/>
        </w:rPr>
        <w:t>Timeliness</w:t>
      </w:r>
      <w:bookmarkEnd w:id="14"/>
    </w:p>
    <w:p w14:paraId="0E1394A7" w14:textId="22096E2D"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State regulations provide guidelines for the time insurers may take to respond with a determination to a prior authorization request.  </w:t>
      </w:r>
    </w:p>
    <w:p w14:paraId="203A8CD5"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If an insurer does not meet the deadline, they must approve the request.  BCBSNM had the highest number of authorizations approved because the deadlines were not met at 272 (this accounted for about 1% of total authorizations BCBSNM received in 2023) (Table 2 and Table 3).</w:t>
      </w:r>
    </w:p>
    <w:p w14:paraId="013989C5" w14:textId="77777777" w:rsidR="007D0459" w:rsidRDefault="007D0459" w:rsidP="007D0459">
      <w:pPr>
        <w:rPr>
          <w:rFonts w:ascii="Times New Roman" w:hAnsi="Times New Roman" w:cs="Times New Roman"/>
          <w:b/>
          <w:i/>
        </w:rPr>
      </w:pPr>
    </w:p>
    <w:p w14:paraId="4460AE20" w14:textId="77777777" w:rsidR="0080543D" w:rsidRPr="007D0459" w:rsidRDefault="0080543D" w:rsidP="007D0459">
      <w:pPr>
        <w:rPr>
          <w:rFonts w:ascii="Times New Roman" w:hAnsi="Times New Roman" w:cs="Times New Roman"/>
          <w:b/>
          <w:i/>
        </w:rPr>
      </w:pPr>
    </w:p>
    <w:p w14:paraId="1766FB7F" w14:textId="77777777" w:rsidR="007D0459" w:rsidRPr="007D0459" w:rsidRDefault="007D0459" w:rsidP="007D0459">
      <w:pPr>
        <w:rPr>
          <w:rFonts w:ascii="Times New Roman" w:hAnsi="Times New Roman" w:cs="Times New Roman"/>
          <w:b/>
          <w:i/>
        </w:rPr>
      </w:pPr>
    </w:p>
    <w:p w14:paraId="64CB0210" w14:textId="77777777" w:rsidR="007D0459" w:rsidRPr="007D0459" w:rsidRDefault="007D0459" w:rsidP="007D0459">
      <w:pPr>
        <w:rPr>
          <w:rFonts w:ascii="Times New Roman" w:hAnsi="Times New Roman" w:cs="Times New Roman"/>
        </w:rPr>
      </w:pPr>
      <w:r w:rsidRPr="007D0459">
        <w:rPr>
          <w:rFonts w:ascii="Times New Roman" w:hAnsi="Times New Roman" w:cs="Times New Roman"/>
          <w:b/>
          <w:i/>
        </w:rPr>
        <w:lastRenderedPageBreak/>
        <w:t>Table 2: Requirements for determination timelines</w:t>
      </w:r>
    </w:p>
    <w:tbl>
      <w:tblPr>
        <w:tblStyle w:val="TableGrid"/>
        <w:tblW w:w="0" w:type="auto"/>
        <w:tblLook w:val="04A0" w:firstRow="1" w:lastRow="0" w:firstColumn="1" w:lastColumn="0" w:noHBand="0" w:noVBand="1"/>
      </w:tblPr>
      <w:tblGrid>
        <w:gridCol w:w="5845"/>
        <w:gridCol w:w="3600"/>
      </w:tblGrid>
      <w:tr w:rsidR="007D0459" w:rsidRPr="007D0459" w14:paraId="385D7649" w14:textId="77777777" w:rsidTr="003C5229">
        <w:trPr>
          <w:trHeight w:val="210"/>
        </w:trPr>
        <w:tc>
          <w:tcPr>
            <w:tcW w:w="5845" w:type="dxa"/>
            <w:vAlign w:val="center"/>
          </w:tcPr>
          <w:p w14:paraId="5B1B1DBA" w14:textId="77777777" w:rsidR="007D0459" w:rsidRPr="007D0459" w:rsidRDefault="007D0459" w:rsidP="003C5229">
            <w:pPr>
              <w:spacing w:after="200" w:line="276" w:lineRule="auto"/>
              <w:jc w:val="center"/>
              <w:rPr>
                <w:rFonts w:ascii="Times New Roman" w:hAnsi="Times New Roman" w:cs="Times New Roman"/>
                <w:b/>
              </w:rPr>
            </w:pPr>
            <w:r w:rsidRPr="007D0459">
              <w:rPr>
                <w:rFonts w:ascii="Times New Roman" w:hAnsi="Times New Roman" w:cs="Times New Roman"/>
                <w:b/>
              </w:rPr>
              <w:t>Prior Authorization Type</w:t>
            </w:r>
          </w:p>
        </w:tc>
        <w:tc>
          <w:tcPr>
            <w:tcW w:w="3600" w:type="dxa"/>
            <w:vAlign w:val="center"/>
          </w:tcPr>
          <w:p w14:paraId="3A505F1C" w14:textId="77777777" w:rsidR="007D0459" w:rsidRPr="007D0459" w:rsidRDefault="007D0459" w:rsidP="003C5229">
            <w:pPr>
              <w:spacing w:after="200" w:line="276" w:lineRule="auto"/>
              <w:jc w:val="center"/>
              <w:rPr>
                <w:rFonts w:ascii="Times New Roman" w:hAnsi="Times New Roman" w:cs="Times New Roman"/>
                <w:b/>
              </w:rPr>
            </w:pPr>
            <w:r w:rsidRPr="007D0459">
              <w:rPr>
                <w:rFonts w:ascii="Times New Roman" w:hAnsi="Times New Roman" w:cs="Times New Roman"/>
                <w:b/>
              </w:rPr>
              <w:t>Number of days/hours</w:t>
            </w:r>
          </w:p>
        </w:tc>
      </w:tr>
      <w:tr w:rsidR="007D0459" w:rsidRPr="007D0459" w14:paraId="4AD4FBD2" w14:textId="77777777" w:rsidTr="000062C1">
        <w:trPr>
          <w:trHeight w:val="219"/>
        </w:trPr>
        <w:tc>
          <w:tcPr>
            <w:tcW w:w="5845" w:type="dxa"/>
            <w:vAlign w:val="center"/>
          </w:tcPr>
          <w:p w14:paraId="748FA270"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 xml:space="preserve">Medical </w:t>
            </w:r>
            <w:proofErr w:type="gramStart"/>
            <w:r w:rsidRPr="003C5229">
              <w:rPr>
                <w:rFonts w:ascii="Times New Roman" w:eastAsia="Times New Roman" w:hAnsi="Times New Roman" w:cs="Times New Roman"/>
                <w:color w:val="000000"/>
                <w:sz w:val="20"/>
                <w:szCs w:val="20"/>
              </w:rPr>
              <w:t>Non-Urgent</w:t>
            </w:r>
            <w:proofErr w:type="gramEnd"/>
          </w:p>
        </w:tc>
        <w:tc>
          <w:tcPr>
            <w:tcW w:w="3600" w:type="dxa"/>
            <w:vAlign w:val="center"/>
          </w:tcPr>
          <w:p w14:paraId="45578D4F"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7 days</w:t>
            </w:r>
          </w:p>
        </w:tc>
      </w:tr>
      <w:tr w:rsidR="007D0459" w:rsidRPr="007D0459" w14:paraId="3C440CC5" w14:textId="77777777" w:rsidTr="000062C1">
        <w:trPr>
          <w:trHeight w:val="210"/>
        </w:trPr>
        <w:tc>
          <w:tcPr>
            <w:tcW w:w="5845" w:type="dxa"/>
            <w:vAlign w:val="center"/>
          </w:tcPr>
          <w:p w14:paraId="67CD853F"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Medical Urgent/Expedited</w:t>
            </w:r>
          </w:p>
        </w:tc>
        <w:tc>
          <w:tcPr>
            <w:tcW w:w="3600" w:type="dxa"/>
            <w:vAlign w:val="center"/>
          </w:tcPr>
          <w:p w14:paraId="527DB98C"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24 hours</w:t>
            </w:r>
          </w:p>
        </w:tc>
      </w:tr>
      <w:tr w:rsidR="007D0459" w:rsidRPr="007D0459" w14:paraId="14D71C6A" w14:textId="77777777" w:rsidTr="000062C1">
        <w:trPr>
          <w:trHeight w:val="210"/>
        </w:trPr>
        <w:tc>
          <w:tcPr>
            <w:tcW w:w="5845" w:type="dxa"/>
            <w:vAlign w:val="center"/>
          </w:tcPr>
          <w:p w14:paraId="19AAC466"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Prescription Drugs Non-Urgent</w:t>
            </w:r>
          </w:p>
        </w:tc>
        <w:tc>
          <w:tcPr>
            <w:tcW w:w="3600" w:type="dxa"/>
            <w:vAlign w:val="center"/>
          </w:tcPr>
          <w:p w14:paraId="473D46EF"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3 days</w:t>
            </w:r>
          </w:p>
        </w:tc>
      </w:tr>
      <w:tr w:rsidR="007D0459" w:rsidRPr="007D0459" w14:paraId="3AAB310F" w14:textId="77777777" w:rsidTr="000062C1">
        <w:trPr>
          <w:trHeight w:val="210"/>
        </w:trPr>
        <w:tc>
          <w:tcPr>
            <w:tcW w:w="5845" w:type="dxa"/>
            <w:vAlign w:val="center"/>
          </w:tcPr>
          <w:p w14:paraId="1B69BCF7"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Prescription Drugs Urgent/Expedited</w:t>
            </w:r>
          </w:p>
        </w:tc>
        <w:tc>
          <w:tcPr>
            <w:tcW w:w="3600" w:type="dxa"/>
            <w:vAlign w:val="center"/>
          </w:tcPr>
          <w:p w14:paraId="42831AE2" w14:textId="77777777" w:rsidR="007D0459" w:rsidRPr="003C5229" w:rsidRDefault="007D0459" w:rsidP="000062C1">
            <w:pPr>
              <w:spacing w:after="60"/>
              <w:rPr>
                <w:rFonts w:ascii="Times New Roman" w:eastAsia="Times New Roman" w:hAnsi="Times New Roman" w:cs="Times New Roman"/>
                <w:color w:val="000000"/>
                <w:sz w:val="20"/>
                <w:szCs w:val="20"/>
              </w:rPr>
            </w:pPr>
            <w:r w:rsidRPr="003C5229">
              <w:rPr>
                <w:rFonts w:ascii="Times New Roman" w:eastAsia="Times New Roman" w:hAnsi="Times New Roman" w:cs="Times New Roman"/>
                <w:color w:val="000000"/>
                <w:sz w:val="20"/>
                <w:szCs w:val="20"/>
              </w:rPr>
              <w:t>24 hours</w:t>
            </w:r>
          </w:p>
        </w:tc>
      </w:tr>
    </w:tbl>
    <w:p w14:paraId="5485E7F0" w14:textId="77777777" w:rsidR="007D0459" w:rsidRPr="007D0459" w:rsidRDefault="007D0459" w:rsidP="007D0459">
      <w:pPr>
        <w:rPr>
          <w:rFonts w:ascii="Times New Roman" w:hAnsi="Times New Roman" w:cs="Times New Roman"/>
        </w:rPr>
      </w:pPr>
    </w:p>
    <w:p w14:paraId="5D53C88B" w14:textId="77777777" w:rsidR="0080543D" w:rsidRPr="0080543D" w:rsidRDefault="0080543D" w:rsidP="0080543D">
      <w:pPr>
        <w:keepNext/>
        <w:keepLines/>
        <w:spacing w:before="160" w:after="80" w:line="259" w:lineRule="auto"/>
        <w:outlineLvl w:val="1"/>
        <w:rPr>
          <w:rFonts w:ascii="Times New Roman" w:eastAsia="Yu Gothic Light" w:hAnsi="Times New Roman" w:cs="Times New Roman"/>
          <w:b/>
          <w:bCs/>
          <w:color w:val="002060"/>
          <w:kern w:val="2"/>
          <w:sz w:val="28"/>
          <w:szCs w:val="28"/>
          <w14:ligatures w14:val="standardContextual"/>
        </w:rPr>
      </w:pPr>
      <w:bookmarkStart w:id="15" w:name="_Toc209356546"/>
      <w:r w:rsidRPr="0080543D">
        <w:rPr>
          <w:rFonts w:ascii="Times New Roman" w:eastAsia="Yu Gothic Light" w:hAnsi="Times New Roman" w:cs="Times New Roman"/>
          <w:b/>
          <w:bCs/>
          <w:color w:val="002060"/>
          <w:kern w:val="2"/>
          <w:sz w:val="28"/>
          <w:szCs w:val="28"/>
          <w14:ligatures w14:val="standardContextual"/>
        </w:rPr>
        <w:t>Timeliness by Category and Insurer</w:t>
      </w:r>
      <w:bookmarkEnd w:id="15"/>
    </w:p>
    <w:p w14:paraId="4B3E1892" w14:textId="77777777" w:rsidR="007D0459" w:rsidRPr="007D0459" w:rsidRDefault="007D0459" w:rsidP="007D0459">
      <w:pPr>
        <w:rPr>
          <w:rFonts w:ascii="Times New Roman" w:hAnsi="Times New Roman" w:cs="Times New Roman"/>
          <w:b/>
          <w:i/>
        </w:rPr>
      </w:pPr>
      <w:r w:rsidRPr="007D0459">
        <w:rPr>
          <w:rFonts w:ascii="Times New Roman" w:hAnsi="Times New Roman" w:cs="Times New Roman"/>
          <w:b/>
          <w:i/>
        </w:rPr>
        <w:t xml:space="preserve">Table 3: Percent and volumes of prior authorizations that met the timeliness requirements </w:t>
      </w:r>
    </w:p>
    <w:tbl>
      <w:tblPr>
        <w:tblW w:w="9472" w:type="dxa"/>
        <w:tblLook w:val="04A0" w:firstRow="1" w:lastRow="0" w:firstColumn="1" w:lastColumn="0" w:noHBand="0" w:noVBand="1"/>
      </w:tblPr>
      <w:tblGrid>
        <w:gridCol w:w="2880"/>
        <w:gridCol w:w="1980"/>
        <w:gridCol w:w="1980"/>
        <w:gridCol w:w="202"/>
        <w:gridCol w:w="2408"/>
        <w:gridCol w:w="22"/>
      </w:tblGrid>
      <w:tr w:rsidR="00D464C3" w:rsidRPr="00A635E7" w14:paraId="355FBBDC" w14:textId="77777777" w:rsidTr="003C5229">
        <w:trPr>
          <w:trHeight w:val="262"/>
        </w:trPr>
        <w:tc>
          <w:tcPr>
            <w:tcW w:w="9472" w:type="dxa"/>
            <w:gridSpan w:val="6"/>
            <w:tcBorders>
              <w:top w:val="nil"/>
              <w:left w:val="nil"/>
              <w:bottom w:val="nil"/>
              <w:right w:val="nil"/>
            </w:tcBorders>
            <w:noWrap/>
            <w:vAlign w:val="bottom"/>
            <w:hideMark/>
          </w:tcPr>
          <w:p w14:paraId="2F9655A1"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bCs/>
                <w:color w:val="000000"/>
              </w:rPr>
              <w:t>Inpatient and Outpatient</w:t>
            </w:r>
            <w:r w:rsidRPr="00A726B3">
              <w:rPr>
                <w:rFonts w:ascii="Times New Roman" w:eastAsia="Times New Roman" w:hAnsi="Times New Roman" w:cs="Times New Roman"/>
                <w:b/>
                <w:color w:val="000000"/>
              </w:rPr>
              <w:t xml:space="preserve"> Prior Authorizations Volumes by Insurer – Calendar Year 2023</w:t>
            </w:r>
          </w:p>
        </w:tc>
      </w:tr>
      <w:tr w:rsidR="00D464C3" w:rsidRPr="00A635E7" w14:paraId="4B7DED11" w14:textId="77777777" w:rsidTr="003C5229">
        <w:trPr>
          <w:trHeight w:val="789"/>
        </w:trPr>
        <w:tc>
          <w:tcPr>
            <w:tcW w:w="2880" w:type="dxa"/>
            <w:tcBorders>
              <w:top w:val="single" w:sz="4" w:space="0" w:color="auto"/>
              <w:left w:val="single" w:sz="4" w:space="0" w:color="auto"/>
              <w:bottom w:val="single" w:sz="4" w:space="0" w:color="auto"/>
              <w:right w:val="single" w:sz="4" w:space="0" w:color="auto"/>
            </w:tcBorders>
            <w:noWrap/>
            <w:vAlign w:val="center"/>
            <w:hideMark/>
          </w:tcPr>
          <w:p w14:paraId="34B6AD81" w14:textId="77777777" w:rsidR="00D464C3" w:rsidRPr="00A726B3" w:rsidRDefault="00D464C3" w:rsidP="003C5229">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Standard Medical</w:t>
            </w:r>
            <w:r>
              <w:rPr>
                <w:rFonts w:ascii="Times New Roman" w:eastAsia="Times New Roman" w:hAnsi="Times New Roman" w:cs="Times New Roman"/>
                <w:b/>
                <w:color w:val="000000"/>
              </w:rPr>
              <w:t xml:space="preserve"> Requests</w:t>
            </w:r>
          </w:p>
        </w:tc>
        <w:tc>
          <w:tcPr>
            <w:tcW w:w="1980" w:type="dxa"/>
            <w:tcBorders>
              <w:top w:val="single" w:sz="4" w:space="0" w:color="auto"/>
              <w:left w:val="nil"/>
              <w:bottom w:val="single" w:sz="4" w:space="0" w:color="auto"/>
              <w:right w:val="single" w:sz="4" w:space="0" w:color="auto"/>
            </w:tcBorders>
            <w:shd w:val="clear" w:color="auto" w:fill="8ED973"/>
            <w:vAlign w:val="center"/>
            <w:hideMark/>
          </w:tcPr>
          <w:p w14:paraId="5F2B0BBF" w14:textId="77777777" w:rsidR="00D464C3" w:rsidRPr="00A726B3" w:rsidRDefault="00D464C3" w:rsidP="003C5229">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 xml:space="preserve">Met </w:t>
            </w:r>
            <w:r w:rsidRPr="00A726B3">
              <w:rPr>
                <w:rFonts w:ascii="Times New Roman" w:eastAsia="Times New Roman" w:hAnsi="Times New Roman" w:cs="Times New Roman"/>
                <w:b/>
                <w:color w:val="000000"/>
              </w:rPr>
              <w:br/>
              <w:t>Requirements</w:t>
            </w:r>
          </w:p>
        </w:tc>
        <w:tc>
          <w:tcPr>
            <w:tcW w:w="2182" w:type="dxa"/>
            <w:gridSpan w:val="2"/>
            <w:tcBorders>
              <w:top w:val="single" w:sz="4" w:space="0" w:color="auto"/>
              <w:left w:val="nil"/>
              <w:bottom w:val="single" w:sz="4" w:space="0" w:color="auto"/>
              <w:right w:val="single" w:sz="4" w:space="0" w:color="auto"/>
            </w:tcBorders>
            <w:vAlign w:val="center"/>
            <w:hideMark/>
          </w:tcPr>
          <w:p w14:paraId="116E8F15" w14:textId="77777777" w:rsidR="00D464C3" w:rsidRPr="00A726B3" w:rsidRDefault="00D464C3" w:rsidP="003C5229">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Did Not Meet Requirements</w:t>
            </w:r>
          </w:p>
        </w:tc>
        <w:tc>
          <w:tcPr>
            <w:tcW w:w="2430" w:type="dxa"/>
            <w:gridSpan w:val="2"/>
            <w:tcBorders>
              <w:top w:val="single" w:sz="4" w:space="0" w:color="auto"/>
              <w:left w:val="single" w:sz="4" w:space="0" w:color="auto"/>
              <w:bottom w:val="single" w:sz="4" w:space="0" w:color="auto"/>
              <w:right w:val="single" w:sz="4" w:space="0" w:color="auto"/>
            </w:tcBorders>
            <w:vAlign w:val="center"/>
            <w:hideMark/>
          </w:tcPr>
          <w:p w14:paraId="5973D34C" w14:textId="77777777" w:rsidR="00D464C3" w:rsidRPr="00A726B3" w:rsidRDefault="00D464C3" w:rsidP="003C5229">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Percent Meeting</w:t>
            </w:r>
            <w:r w:rsidRPr="00A726B3">
              <w:rPr>
                <w:rFonts w:ascii="Times New Roman" w:eastAsia="Times New Roman" w:hAnsi="Times New Roman" w:cs="Times New Roman"/>
                <w:b/>
              </w:rPr>
              <w:br/>
              <w:t xml:space="preserve"> Timeliness</w:t>
            </w:r>
          </w:p>
        </w:tc>
      </w:tr>
      <w:tr w:rsidR="00D464C3" w:rsidRPr="00A635E7" w14:paraId="33C6F5B6"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38FC7294"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BCBSNM</w:t>
            </w:r>
          </w:p>
        </w:tc>
        <w:tc>
          <w:tcPr>
            <w:tcW w:w="1980" w:type="dxa"/>
            <w:tcBorders>
              <w:top w:val="nil"/>
              <w:left w:val="nil"/>
              <w:bottom w:val="single" w:sz="4" w:space="0" w:color="auto"/>
              <w:right w:val="single" w:sz="4" w:space="0" w:color="auto"/>
            </w:tcBorders>
            <w:noWrap/>
            <w:vAlign w:val="bottom"/>
            <w:hideMark/>
          </w:tcPr>
          <w:p w14:paraId="47C46398"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16,956</w:t>
            </w:r>
          </w:p>
        </w:tc>
        <w:tc>
          <w:tcPr>
            <w:tcW w:w="2182" w:type="dxa"/>
            <w:gridSpan w:val="2"/>
            <w:tcBorders>
              <w:top w:val="nil"/>
              <w:left w:val="nil"/>
              <w:bottom w:val="single" w:sz="4" w:space="0" w:color="auto"/>
              <w:right w:val="single" w:sz="4" w:space="0" w:color="auto"/>
            </w:tcBorders>
            <w:noWrap/>
            <w:vAlign w:val="bottom"/>
            <w:hideMark/>
          </w:tcPr>
          <w:p w14:paraId="542D912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45</w:t>
            </w:r>
          </w:p>
        </w:tc>
        <w:tc>
          <w:tcPr>
            <w:tcW w:w="2430" w:type="dxa"/>
            <w:gridSpan w:val="2"/>
            <w:tcBorders>
              <w:top w:val="nil"/>
              <w:left w:val="single" w:sz="4" w:space="0" w:color="auto"/>
              <w:bottom w:val="single" w:sz="4" w:space="0" w:color="auto"/>
              <w:right w:val="single" w:sz="4" w:space="0" w:color="auto"/>
            </w:tcBorders>
            <w:noWrap/>
            <w:vAlign w:val="bottom"/>
            <w:hideMark/>
          </w:tcPr>
          <w:p w14:paraId="7326D504"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99.7%</w:t>
            </w:r>
          </w:p>
        </w:tc>
      </w:tr>
      <w:tr w:rsidR="00D464C3" w:rsidRPr="00A635E7" w14:paraId="4F18FA14"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72CD1950"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Cigna</w:t>
            </w:r>
          </w:p>
        </w:tc>
        <w:tc>
          <w:tcPr>
            <w:tcW w:w="1980" w:type="dxa"/>
            <w:tcBorders>
              <w:top w:val="nil"/>
              <w:left w:val="nil"/>
              <w:bottom w:val="single" w:sz="4" w:space="0" w:color="auto"/>
              <w:right w:val="single" w:sz="4" w:space="0" w:color="auto"/>
            </w:tcBorders>
            <w:noWrap/>
            <w:vAlign w:val="bottom"/>
            <w:hideMark/>
          </w:tcPr>
          <w:p w14:paraId="4150F5D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28</w:t>
            </w:r>
          </w:p>
        </w:tc>
        <w:tc>
          <w:tcPr>
            <w:tcW w:w="2182" w:type="dxa"/>
            <w:gridSpan w:val="2"/>
            <w:tcBorders>
              <w:top w:val="nil"/>
              <w:left w:val="nil"/>
              <w:bottom w:val="single" w:sz="4" w:space="0" w:color="auto"/>
              <w:right w:val="single" w:sz="4" w:space="0" w:color="auto"/>
            </w:tcBorders>
            <w:noWrap/>
            <w:vAlign w:val="bottom"/>
            <w:hideMark/>
          </w:tcPr>
          <w:p w14:paraId="59F51D63"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w:t>
            </w:r>
          </w:p>
        </w:tc>
        <w:tc>
          <w:tcPr>
            <w:tcW w:w="2430" w:type="dxa"/>
            <w:gridSpan w:val="2"/>
            <w:tcBorders>
              <w:top w:val="nil"/>
              <w:left w:val="single" w:sz="4" w:space="0" w:color="auto"/>
              <w:bottom w:val="single" w:sz="4" w:space="0" w:color="auto"/>
              <w:right w:val="single" w:sz="4" w:space="0" w:color="auto"/>
            </w:tcBorders>
            <w:noWrap/>
            <w:vAlign w:val="bottom"/>
            <w:hideMark/>
          </w:tcPr>
          <w:p w14:paraId="2B7553B4"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96.6%</w:t>
            </w:r>
          </w:p>
        </w:tc>
      </w:tr>
      <w:tr w:rsidR="00D464C3" w:rsidRPr="00A635E7" w14:paraId="6D8C6BCF"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0C3EBB5E"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Molina</w:t>
            </w:r>
          </w:p>
        </w:tc>
        <w:tc>
          <w:tcPr>
            <w:tcW w:w="1980" w:type="dxa"/>
            <w:tcBorders>
              <w:top w:val="nil"/>
              <w:left w:val="nil"/>
              <w:bottom w:val="single" w:sz="4" w:space="0" w:color="auto"/>
              <w:right w:val="single" w:sz="4" w:space="0" w:color="auto"/>
            </w:tcBorders>
            <w:noWrap/>
            <w:vAlign w:val="bottom"/>
            <w:hideMark/>
          </w:tcPr>
          <w:p w14:paraId="5DA6C06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1,694</w:t>
            </w:r>
          </w:p>
        </w:tc>
        <w:tc>
          <w:tcPr>
            <w:tcW w:w="2182" w:type="dxa"/>
            <w:gridSpan w:val="2"/>
            <w:tcBorders>
              <w:top w:val="nil"/>
              <w:left w:val="nil"/>
              <w:bottom w:val="single" w:sz="4" w:space="0" w:color="auto"/>
              <w:right w:val="single" w:sz="4" w:space="0" w:color="auto"/>
            </w:tcBorders>
            <w:noWrap/>
            <w:vAlign w:val="bottom"/>
            <w:hideMark/>
          </w:tcPr>
          <w:p w14:paraId="61309658"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w:t>
            </w:r>
          </w:p>
        </w:tc>
        <w:tc>
          <w:tcPr>
            <w:tcW w:w="2430" w:type="dxa"/>
            <w:gridSpan w:val="2"/>
            <w:tcBorders>
              <w:top w:val="nil"/>
              <w:left w:val="single" w:sz="4" w:space="0" w:color="auto"/>
              <w:bottom w:val="single" w:sz="4" w:space="0" w:color="auto"/>
              <w:right w:val="single" w:sz="4" w:space="0" w:color="auto"/>
            </w:tcBorders>
            <w:noWrap/>
            <w:vAlign w:val="bottom"/>
            <w:hideMark/>
          </w:tcPr>
          <w:p w14:paraId="2004A721"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99.9%</w:t>
            </w:r>
          </w:p>
        </w:tc>
      </w:tr>
      <w:tr w:rsidR="00D464C3" w:rsidRPr="00A635E7" w14:paraId="78558C39"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3F10E7B3"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PHP</w:t>
            </w:r>
          </w:p>
        </w:tc>
        <w:tc>
          <w:tcPr>
            <w:tcW w:w="1980" w:type="dxa"/>
            <w:tcBorders>
              <w:top w:val="nil"/>
              <w:left w:val="nil"/>
              <w:bottom w:val="single" w:sz="4" w:space="0" w:color="auto"/>
              <w:right w:val="single" w:sz="4" w:space="0" w:color="auto"/>
            </w:tcBorders>
            <w:noWrap/>
            <w:vAlign w:val="bottom"/>
            <w:hideMark/>
          </w:tcPr>
          <w:p w14:paraId="06958F7A" w14:textId="73A7036A"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17,16</w:t>
            </w:r>
            <w:r w:rsidR="00057FD2">
              <w:rPr>
                <w:rFonts w:ascii="Times New Roman" w:eastAsia="Times New Roman" w:hAnsi="Times New Roman" w:cs="Times New Roman"/>
                <w:color w:val="000000"/>
                <w:sz w:val="20"/>
                <w:szCs w:val="20"/>
              </w:rPr>
              <w:t>4</w:t>
            </w:r>
          </w:p>
        </w:tc>
        <w:tc>
          <w:tcPr>
            <w:tcW w:w="2182" w:type="dxa"/>
            <w:gridSpan w:val="2"/>
            <w:tcBorders>
              <w:top w:val="nil"/>
              <w:left w:val="nil"/>
              <w:bottom w:val="single" w:sz="4" w:space="0" w:color="auto"/>
              <w:right w:val="single" w:sz="4" w:space="0" w:color="auto"/>
            </w:tcBorders>
            <w:noWrap/>
            <w:vAlign w:val="bottom"/>
            <w:hideMark/>
          </w:tcPr>
          <w:p w14:paraId="32ADFFCE" w14:textId="49ABD515"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744</w:t>
            </w:r>
          </w:p>
        </w:tc>
        <w:tc>
          <w:tcPr>
            <w:tcW w:w="2430" w:type="dxa"/>
            <w:gridSpan w:val="2"/>
            <w:tcBorders>
              <w:top w:val="nil"/>
              <w:left w:val="single" w:sz="4" w:space="0" w:color="auto"/>
              <w:bottom w:val="single" w:sz="4" w:space="0" w:color="auto"/>
              <w:right w:val="single" w:sz="4" w:space="0" w:color="auto"/>
            </w:tcBorders>
            <w:noWrap/>
            <w:vAlign w:val="bottom"/>
            <w:hideMark/>
          </w:tcPr>
          <w:p w14:paraId="583B5C6C" w14:textId="6E91F1A9"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95.</w:t>
            </w:r>
            <w:r w:rsidR="00D12177">
              <w:rPr>
                <w:rFonts w:ascii="Times New Roman" w:eastAsia="Times New Roman" w:hAnsi="Times New Roman" w:cs="Times New Roman"/>
                <w:color w:val="000000"/>
                <w:sz w:val="20"/>
                <w:szCs w:val="20"/>
              </w:rPr>
              <w:t>8</w:t>
            </w:r>
            <w:r w:rsidRPr="00A726B3">
              <w:rPr>
                <w:rFonts w:ascii="Times New Roman" w:eastAsia="Times New Roman" w:hAnsi="Times New Roman" w:cs="Times New Roman"/>
                <w:color w:val="000000"/>
                <w:sz w:val="20"/>
                <w:szCs w:val="20"/>
              </w:rPr>
              <w:t>%</w:t>
            </w:r>
          </w:p>
        </w:tc>
      </w:tr>
      <w:tr w:rsidR="00D464C3" w:rsidRPr="00A635E7" w14:paraId="53185DE3"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04F1639E"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PIC</w:t>
            </w:r>
          </w:p>
        </w:tc>
        <w:tc>
          <w:tcPr>
            <w:tcW w:w="1980" w:type="dxa"/>
            <w:tcBorders>
              <w:top w:val="nil"/>
              <w:left w:val="nil"/>
              <w:bottom w:val="single" w:sz="4" w:space="0" w:color="auto"/>
              <w:right w:val="single" w:sz="4" w:space="0" w:color="auto"/>
            </w:tcBorders>
            <w:noWrap/>
            <w:vAlign w:val="bottom"/>
            <w:hideMark/>
          </w:tcPr>
          <w:p w14:paraId="3B875015"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737</w:t>
            </w:r>
          </w:p>
        </w:tc>
        <w:tc>
          <w:tcPr>
            <w:tcW w:w="2182" w:type="dxa"/>
            <w:gridSpan w:val="2"/>
            <w:tcBorders>
              <w:top w:val="nil"/>
              <w:left w:val="nil"/>
              <w:bottom w:val="single" w:sz="4" w:space="0" w:color="auto"/>
              <w:right w:val="single" w:sz="4" w:space="0" w:color="auto"/>
            </w:tcBorders>
            <w:noWrap/>
            <w:vAlign w:val="bottom"/>
            <w:hideMark/>
          </w:tcPr>
          <w:p w14:paraId="51180B7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76</w:t>
            </w:r>
          </w:p>
        </w:tc>
        <w:tc>
          <w:tcPr>
            <w:tcW w:w="2430" w:type="dxa"/>
            <w:gridSpan w:val="2"/>
            <w:tcBorders>
              <w:top w:val="nil"/>
              <w:left w:val="single" w:sz="4" w:space="0" w:color="auto"/>
              <w:bottom w:val="single" w:sz="4" w:space="0" w:color="auto"/>
              <w:right w:val="single" w:sz="4" w:space="0" w:color="auto"/>
            </w:tcBorders>
            <w:noWrap/>
            <w:vAlign w:val="bottom"/>
            <w:hideMark/>
          </w:tcPr>
          <w:p w14:paraId="227DE71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90.7%</w:t>
            </w:r>
          </w:p>
        </w:tc>
      </w:tr>
      <w:tr w:rsidR="00D464C3" w:rsidRPr="00A635E7" w14:paraId="5770AD53"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68D6AE32"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UHCNM</w:t>
            </w:r>
          </w:p>
        </w:tc>
        <w:tc>
          <w:tcPr>
            <w:tcW w:w="1980" w:type="dxa"/>
            <w:tcBorders>
              <w:top w:val="nil"/>
              <w:left w:val="nil"/>
              <w:bottom w:val="single" w:sz="4" w:space="0" w:color="auto"/>
              <w:right w:val="single" w:sz="4" w:space="0" w:color="auto"/>
            </w:tcBorders>
            <w:noWrap/>
            <w:vAlign w:val="bottom"/>
            <w:hideMark/>
          </w:tcPr>
          <w:p w14:paraId="0EE5A11D"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43</w:t>
            </w:r>
          </w:p>
        </w:tc>
        <w:tc>
          <w:tcPr>
            <w:tcW w:w="2182" w:type="dxa"/>
            <w:gridSpan w:val="2"/>
            <w:tcBorders>
              <w:top w:val="nil"/>
              <w:left w:val="nil"/>
              <w:bottom w:val="single" w:sz="4" w:space="0" w:color="auto"/>
              <w:right w:val="single" w:sz="4" w:space="0" w:color="auto"/>
            </w:tcBorders>
            <w:noWrap/>
            <w:vAlign w:val="bottom"/>
            <w:hideMark/>
          </w:tcPr>
          <w:p w14:paraId="1A628D0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w:t>
            </w:r>
          </w:p>
        </w:tc>
        <w:tc>
          <w:tcPr>
            <w:tcW w:w="2430" w:type="dxa"/>
            <w:gridSpan w:val="2"/>
            <w:tcBorders>
              <w:top w:val="nil"/>
              <w:left w:val="single" w:sz="4" w:space="0" w:color="auto"/>
              <w:bottom w:val="single" w:sz="4" w:space="0" w:color="auto"/>
              <w:right w:val="single" w:sz="4" w:space="0" w:color="auto"/>
            </w:tcBorders>
            <w:noWrap/>
            <w:vAlign w:val="bottom"/>
            <w:hideMark/>
          </w:tcPr>
          <w:p w14:paraId="51CA42C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95.6%</w:t>
            </w:r>
          </w:p>
        </w:tc>
      </w:tr>
      <w:tr w:rsidR="00D464C3" w:rsidRPr="00A635E7" w14:paraId="3E1BD180"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18B62B9C"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UHIC</w:t>
            </w:r>
          </w:p>
        </w:tc>
        <w:tc>
          <w:tcPr>
            <w:tcW w:w="1980" w:type="dxa"/>
            <w:tcBorders>
              <w:top w:val="nil"/>
              <w:left w:val="nil"/>
              <w:bottom w:val="single" w:sz="4" w:space="0" w:color="auto"/>
              <w:right w:val="single" w:sz="4" w:space="0" w:color="auto"/>
            </w:tcBorders>
            <w:noWrap/>
            <w:vAlign w:val="bottom"/>
            <w:hideMark/>
          </w:tcPr>
          <w:p w14:paraId="1FB3CD13"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501</w:t>
            </w:r>
          </w:p>
        </w:tc>
        <w:tc>
          <w:tcPr>
            <w:tcW w:w="2182" w:type="dxa"/>
            <w:gridSpan w:val="2"/>
            <w:tcBorders>
              <w:top w:val="nil"/>
              <w:left w:val="nil"/>
              <w:bottom w:val="single" w:sz="4" w:space="0" w:color="auto"/>
              <w:right w:val="single" w:sz="4" w:space="0" w:color="auto"/>
            </w:tcBorders>
            <w:noWrap/>
            <w:vAlign w:val="bottom"/>
            <w:hideMark/>
          </w:tcPr>
          <w:p w14:paraId="4FCF1DB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33</w:t>
            </w:r>
          </w:p>
        </w:tc>
        <w:tc>
          <w:tcPr>
            <w:tcW w:w="2430" w:type="dxa"/>
            <w:gridSpan w:val="2"/>
            <w:tcBorders>
              <w:top w:val="nil"/>
              <w:left w:val="single" w:sz="4" w:space="0" w:color="auto"/>
              <w:bottom w:val="single" w:sz="4" w:space="0" w:color="auto"/>
              <w:right w:val="single" w:sz="4" w:space="0" w:color="auto"/>
            </w:tcBorders>
            <w:noWrap/>
            <w:vAlign w:val="bottom"/>
            <w:hideMark/>
          </w:tcPr>
          <w:p w14:paraId="57B461E1"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93.8%</w:t>
            </w:r>
          </w:p>
        </w:tc>
      </w:tr>
      <w:tr w:rsidR="00D464C3" w:rsidRPr="00A635E7" w14:paraId="4CFDF551"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4C40F065"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WSCC</w:t>
            </w:r>
          </w:p>
        </w:tc>
        <w:tc>
          <w:tcPr>
            <w:tcW w:w="1980" w:type="dxa"/>
            <w:tcBorders>
              <w:top w:val="nil"/>
              <w:left w:val="nil"/>
              <w:bottom w:val="single" w:sz="4" w:space="0" w:color="auto"/>
              <w:right w:val="single" w:sz="4" w:space="0" w:color="auto"/>
            </w:tcBorders>
            <w:noWrap/>
            <w:vAlign w:val="bottom"/>
            <w:hideMark/>
          </w:tcPr>
          <w:p w14:paraId="725324C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1,015</w:t>
            </w:r>
          </w:p>
        </w:tc>
        <w:tc>
          <w:tcPr>
            <w:tcW w:w="2182" w:type="dxa"/>
            <w:gridSpan w:val="2"/>
            <w:tcBorders>
              <w:top w:val="nil"/>
              <w:left w:val="nil"/>
              <w:bottom w:val="single" w:sz="4" w:space="0" w:color="auto"/>
              <w:right w:val="single" w:sz="4" w:space="0" w:color="auto"/>
            </w:tcBorders>
            <w:noWrap/>
            <w:vAlign w:val="bottom"/>
            <w:hideMark/>
          </w:tcPr>
          <w:p w14:paraId="7AB81C65"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169</w:t>
            </w:r>
          </w:p>
        </w:tc>
        <w:tc>
          <w:tcPr>
            <w:tcW w:w="2430" w:type="dxa"/>
            <w:gridSpan w:val="2"/>
            <w:tcBorders>
              <w:top w:val="nil"/>
              <w:left w:val="single" w:sz="4" w:space="0" w:color="auto"/>
              <w:bottom w:val="single" w:sz="4" w:space="0" w:color="auto"/>
              <w:right w:val="single" w:sz="4" w:space="0" w:color="auto"/>
            </w:tcBorders>
            <w:noWrap/>
            <w:vAlign w:val="bottom"/>
            <w:hideMark/>
          </w:tcPr>
          <w:p w14:paraId="042650F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85.7%</w:t>
            </w:r>
          </w:p>
        </w:tc>
      </w:tr>
      <w:tr w:rsidR="00D464C3" w:rsidRPr="00A635E7" w14:paraId="6B4F13EA" w14:textId="77777777" w:rsidTr="003C5229">
        <w:trPr>
          <w:trHeight w:val="262"/>
        </w:trPr>
        <w:tc>
          <w:tcPr>
            <w:tcW w:w="2880" w:type="dxa"/>
            <w:tcBorders>
              <w:top w:val="nil"/>
              <w:left w:val="nil"/>
              <w:bottom w:val="nil"/>
              <w:right w:val="nil"/>
            </w:tcBorders>
            <w:noWrap/>
            <w:vAlign w:val="bottom"/>
            <w:hideMark/>
          </w:tcPr>
          <w:p w14:paraId="45B9047C" w14:textId="77777777" w:rsidR="00D464C3" w:rsidRPr="00A726B3" w:rsidRDefault="00D464C3" w:rsidP="00D12177">
            <w:pPr>
              <w:spacing w:after="0" w:line="240" w:lineRule="auto"/>
              <w:jc w:val="right"/>
              <w:rPr>
                <w:rFonts w:ascii="Times New Roman" w:eastAsia="Times New Roman" w:hAnsi="Times New Roman" w:cs="Times New Roman"/>
                <w:color w:val="000000"/>
              </w:rPr>
            </w:pPr>
          </w:p>
        </w:tc>
        <w:tc>
          <w:tcPr>
            <w:tcW w:w="1980" w:type="dxa"/>
            <w:tcBorders>
              <w:top w:val="nil"/>
              <w:left w:val="nil"/>
              <w:bottom w:val="nil"/>
              <w:right w:val="nil"/>
            </w:tcBorders>
            <w:noWrap/>
            <w:vAlign w:val="bottom"/>
            <w:hideMark/>
          </w:tcPr>
          <w:p w14:paraId="65EDDDA4" w14:textId="77777777" w:rsidR="00D464C3" w:rsidRPr="00A635E7" w:rsidRDefault="00D464C3" w:rsidP="00D12177">
            <w:pPr>
              <w:spacing w:after="0" w:line="240" w:lineRule="auto"/>
              <w:jc w:val="center"/>
              <w:rPr>
                <w:rFonts w:ascii="Times New Roman" w:eastAsia="Times New Roman" w:hAnsi="Times New Roman" w:cs="Times New Roman"/>
                <w:sz w:val="20"/>
                <w:szCs w:val="20"/>
              </w:rPr>
            </w:pPr>
          </w:p>
        </w:tc>
        <w:tc>
          <w:tcPr>
            <w:tcW w:w="2182" w:type="dxa"/>
            <w:gridSpan w:val="2"/>
            <w:tcBorders>
              <w:top w:val="nil"/>
              <w:left w:val="nil"/>
              <w:bottom w:val="nil"/>
              <w:right w:val="nil"/>
            </w:tcBorders>
            <w:noWrap/>
            <w:vAlign w:val="bottom"/>
            <w:hideMark/>
          </w:tcPr>
          <w:p w14:paraId="715CB930" w14:textId="77777777" w:rsidR="00D464C3" w:rsidRPr="00A635E7" w:rsidRDefault="00D464C3" w:rsidP="00D12177">
            <w:pPr>
              <w:spacing w:after="0" w:line="240" w:lineRule="auto"/>
              <w:jc w:val="center"/>
              <w:rPr>
                <w:rFonts w:ascii="Times New Roman" w:eastAsia="Times New Roman" w:hAnsi="Times New Roman" w:cs="Times New Roman"/>
                <w:sz w:val="20"/>
                <w:szCs w:val="20"/>
              </w:rPr>
            </w:pPr>
          </w:p>
        </w:tc>
        <w:tc>
          <w:tcPr>
            <w:tcW w:w="2430" w:type="dxa"/>
            <w:gridSpan w:val="2"/>
            <w:tcBorders>
              <w:top w:val="nil"/>
              <w:left w:val="nil"/>
              <w:bottom w:val="nil"/>
              <w:right w:val="nil"/>
            </w:tcBorders>
            <w:noWrap/>
            <w:vAlign w:val="bottom"/>
            <w:hideMark/>
          </w:tcPr>
          <w:p w14:paraId="0D3953C3" w14:textId="77777777" w:rsidR="00D464C3" w:rsidRPr="00A635E7" w:rsidRDefault="00D464C3" w:rsidP="00D12177">
            <w:pPr>
              <w:spacing w:after="0" w:line="240" w:lineRule="auto"/>
              <w:jc w:val="center"/>
              <w:rPr>
                <w:rFonts w:ascii="Times New Roman" w:eastAsia="Times New Roman" w:hAnsi="Times New Roman" w:cs="Times New Roman"/>
                <w:sz w:val="20"/>
                <w:szCs w:val="20"/>
              </w:rPr>
            </w:pPr>
          </w:p>
        </w:tc>
      </w:tr>
      <w:tr w:rsidR="00D464C3" w:rsidRPr="00A635E7" w14:paraId="43990AA6" w14:textId="77777777" w:rsidTr="003C5229">
        <w:trPr>
          <w:trHeight w:val="789"/>
        </w:trPr>
        <w:tc>
          <w:tcPr>
            <w:tcW w:w="2880" w:type="dxa"/>
            <w:tcBorders>
              <w:top w:val="single" w:sz="4" w:space="0" w:color="auto"/>
              <w:left w:val="single" w:sz="4" w:space="0" w:color="auto"/>
              <w:bottom w:val="single" w:sz="4" w:space="0" w:color="auto"/>
              <w:right w:val="single" w:sz="4" w:space="0" w:color="auto"/>
            </w:tcBorders>
            <w:noWrap/>
            <w:vAlign w:val="bottom"/>
            <w:hideMark/>
          </w:tcPr>
          <w:p w14:paraId="53BBDB10" w14:textId="77777777" w:rsidR="00D464C3" w:rsidRPr="00A726B3" w:rsidRDefault="00D464C3" w:rsidP="00D12177">
            <w:pPr>
              <w:spacing w:after="0" w:line="240" w:lineRule="auto"/>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Urgent/Expedited Medical</w:t>
            </w:r>
            <w:r>
              <w:rPr>
                <w:rFonts w:ascii="Times New Roman" w:eastAsia="Times New Roman" w:hAnsi="Times New Roman" w:cs="Times New Roman"/>
                <w:b/>
                <w:color w:val="000000"/>
              </w:rPr>
              <w:t xml:space="preserve"> Requests</w:t>
            </w:r>
          </w:p>
        </w:tc>
        <w:tc>
          <w:tcPr>
            <w:tcW w:w="1980" w:type="dxa"/>
            <w:tcBorders>
              <w:top w:val="single" w:sz="4" w:space="0" w:color="auto"/>
              <w:left w:val="nil"/>
              <w:bottom w:val="single" w:sz="4" w:space="0" w:color="auto"/>
              <w:right w:val="single" w:sz="4" w:space="0" w:color="auto"/>
            </w:tcBorders>
            <w:shd w:val="clear" w:color="auto" w:fill="8ED973"/>
            <w:vAlign w:val="bottom"/>
            <w:hideMark/>
          </w:tcPr>
          <w:p w14:paraId="68CFD3BF"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 xml:space="preserve">Met </w:t>
            </w:r>
            <w:r w:rsidRPr="00A726B3">
              <w:rPr>
                <w:rFonts w:ascii="Times New Roman" w:eastAsia="Times New Roman" w:hAnsi="Times New Roman" w:cs="Times New Roman"/>
                <w:b/>
                <w:color w:val="000000"/>
              </w:rPr>
              <w:br/>
              <w:t>Requirements</w:t>
            </w:r>
          </w:p>
        </w:tc>
        <w:tc>
          <w:tcPr>
            <w:tcW w:w="2182" w:type="dxa"/>
            <w:gridSpan w:val="2"/>
            <w:tcBorders>
              <w:top w:val="single" w:sz="4" w:space="0" w:color="auto"/>
              <w:left w:val="nil"/>
              <w:bottom w:val="single" w:sz="4" w:space="0" w:color="auto"/>
              <w:right w:val="single" w:sz="4" w:space="0" w:color="auto"/>
            </w:tcBorders>
            <w:vAlign w:val="bottom"/>
            <w:hideMark/>
          </w:tcPr>
          <w:p w14:paraId="07FB258D"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Did Not Meet Requirements</w:t>
            </w:r>
          </w:p>
        </w:tc>
        <w:tc>
          <w:tcPr>
            <w:tcW w:w="2430" w:type="dxa"/>
            <w:gridSpan w:val="2"/>
            <w:tcBorders>
              <w:top w:val="single" w:sz="4" w:space="0" w:color="auto"/>
              <w:left w:val="single" w:sz="4" w:space="0" w:color="auto"/>
              <w:bottom w:val="single" w:sz="4" w:space="0" w:color="auto"/>
              <w:right w:val="single" w:sz="4" w:space="0" w:color="auto"/>
            </w:tcBorders>
            <w:vAlign w:val="bottom"/>
            <w:hideMark/>
          </w:tcPr>
          <w:p w14:paraId="48DC398F"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Percent Meeting</w:t>
            </w:r>
            <w:r w:rsidRPr="00A726B3">
              <w:rPr>
                <w:rFonts w:ascii="Times New Roman" w:eastAsia="Times New Roman" w:hAnsi="Times New Roman" w:cs="Times New Roman"/>
                <w:b/>
              </w:rPr>
              <w:br/>
              <w:t xml:space="preserve"> Timeliness</w:t>
            </w:r>
          </w:p>
        </w:tc>
      </w:tr>
      <w:tr w:rsidR="00D464C3" w:rsidRPr="00A635E7" w14:paraId="38D4ADB4"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613A6B21"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BCBSNM</w:t>
            </w:r>
          </w:p>
        </w:tc>
        <w:tc>
          <w:tcPr>
            <w:tcW w:w="1980" w:type="dxa"/>
            <w:tcBorders>
              <w:top w:val="nil"/>
              <w:left w:val="nil"/>
              <w:bottom w:val="single" w:sz="4" w:space="0" w:color="auto"/>
              <w:right w:val="single" w:sz="4" w:space="0" w:color="auto"/>
            </w:tcBorders>
            <w:noWrap/>
            <w:vAlign w:val="bottom"/>
            <w:hideMark/>
          </w:tcPr>
          <w:p w14:paraId="192CAF40"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4,671</w:t>
            </w:r>
          </w:p>
        </w:tc>
        <w:tc>
          <w:tcPr>
            <w:tcW w:w="2182" w:type="dxa"/>
            <w:gridSpan w:val="2"/>
            <w:tcBorders>
              <w:top w:val="nil"/>
              <w:left w:val="nil"/>
              <w:bottom w:val="single" w:sz="4" w:space="0" w:color="auto"/>
              <w:right w:val="single" w:sz="4" w:space="0" w:color="auto"/>
            </w:tcBorders>
            <w:noWrap/>
            <w:vAlign w:val="bottom"/>
            <w:hideMark/>
          </w:tcPr>
          <w:p w14:paraId="624BF10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393</w:t>
            </w:r>
          </w:p>
        </w:tc>
        <w:tc>
          <w:tcPr>
            <w:tcW w:w="2430" w:type="dxa"/>
            <w:gridSpan w:val="2"/>
            <w:tcBorders>
              <w:top w:val="nil"/>
              <w:left w:val="single" w:sz="4" w:space="0" w:color="auto"/>
              <w:bottom w:val="single" w:sz="4" w:space="0" w:color="auto"/>
              <w:right w:val="single" w:sz="4" w:space="0" w:color="auto"/>
            </w:tcBorders>
            <w:noWrap/>
            <w:vAlign w:val="bottom"/>
            <w:hideMark/>
          </w:tcPr>
          <w:p w14:paraId="166B98E1"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92.2%</w:t>
            </w:r>
          </w:p>
        </w:tc>
      </w:tr>
      <w:tr w:rsidR="00D464C3" w:rsidRPr="00A635E7" w14:paraId="206209E7"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5218B48C"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Cigna</w:t>
            </w:r>
          </w:p>
        </w:tc>
        <w:tc>
          <w:tcPr>
            <w:tcW w:w="1980" w:type="dxa"/>
            <w:tcBorders>
              <w:top w:val="nil"/>
              <w:left w:val="nil"/>
              <w:bottom w:val="single" w:sz="4" w:space="0" w:color="auto"/>
              <w:right w:val="single" w:sz="4" w:space="0" w:color="auto"/>
            </w:tcBorders>
            <w:noWrap/>
            <w:vAlign w:val="bottom"/>
            <w:hideMark/>
          </w:tcPr>
          <w:p w14:paraId="18D336C1"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182" w:type="dxa"/>
            <w:gridSpan w:val="2"/>
            <w:tcBorders>
              <w:top w:val="nil"/>
              <w:left w:val="nil"/>
              <w:bottom w:val="single" w:sz="4" w:space="0" w:color="auto"/>
              <w:right w:val="single" w:sz="4" w:space="0" w:color="auto"/>
            </w:tcBorders>
            <w:noWrap/>
            <w:vAlign w:val="bottom"/>
            <w:hideMark/>
          </w:tcPr>
          <w:p w14:paraId="79E8400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430" w:type="dxa"/>
            <w:gridSpan w:val="2"/>
            <w:tcBorders>
              <w:top w:val="nil"/>
              <w:left w:val="single" w:sz="4" w:space="0" w:color="auto"/>
              <w:bottom w:val="single" w:sz="4" w:space="0" w:color="auto"/>
              <w:right w:val="single" w:sz="4" w:space="0" w:color="auto"/>
            </w:tcBorders>
            <w:noWrap/>
            <w:vAlign w:val="bottom"/>
            <w:hideMark/>
          </w:tcPr>
          <w:p w14:paraId="5DEE7742" w14:textId="7E477B5E" w:rsidR="00D464C3" w:rsidRPr="00A726B3" w:rsidRDefault="00FE28EB"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r>
      <w:tr w:rsidR="00D464C3" w:rsidRPr="00A635E7" w14:paraId="6330CB0D"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6C229E1C"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Molina</w:t>
            </w:r>
          </w:p>
        </w:tc>
        <w:tc>
          <w:tcPr>
            <w:tcW w:w="1980" w:type="dxa"/>
            <w:tcBorders>
              <w:top w:val="nil"/>
              <w:left w:val="nil"/>
              <w:bottom w:val="single" w:sz="4" w:space="0" w:color="auto"/>
              <w:right w:val="single" w:sz="4" w:space="0" w:color="auto"/>
            </w:tcBorders>
            <w:noWrap/>
            <w:vAlign w:val="bottom"/>
            <w:hideMark/>
          </w:tcPr>
          <w:p w14:paraId="0718850C"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415</w:t>
            </w:r>
          </w:p>
        </w:tc>
        <w:tc>
          <w:tcPr>
            <w:tcW w:w="2182" w:type="dxa"/>
            <w:gridSpan w:val="2"/>
            <w:tcBorders>
              <w:top w:val="nil"/>
              <w:left w:val="nil"/>
              <w:bottom w:val="single" w:sz="4" w:space="0" w:color="auto"/>
              <w:right w:val="single" w:sz="4" w:space="0" w:color="auto"/>
            </w:tcBorders>
            <w:noWrap/>
            <w:vAlign w:val="bottom"/>
            <w:hideMark/>
          </w:tcPr>
          <w:p w14:paraId="52B4CDFD"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14</w:t>
            </w:r>
          </w:p>
        </w:tc>
        <w:tc>
          <w:tcPr>
            <w:tcW w:w="2430" w:type="dxa"/>
            <w:gridSpan w:val="2"/>
            <w:tcBorders>
              <w:top w:val="nil"/>
              <w:left w:val="single" w:sz="4" w:space="0" w:color="auto"/>
              <w:bottom w:val="single" w:sz="4" w:space="0" w:color="auto"/>
              <w:right w:val="single" w:sz="4" w:space="0" w:color="auto"/>
            </w:tcBorders>
            <w:noWrap/>
            <w:vAlign w:val="bottom"/>
            <w:hideMark/>
          </w:tcPr>
          <w:p w14:paraId="7D4F3853"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96.7%</w:t>
            </w:r>
          </w:p>
        </w:tc>
      </w:tr>
      <w:tr w:rsidR="00D464C3" w:rsidRPr="00A635E7" w14:paraId="02876520"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61EA9826"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PHP</w:t>
            </w:r>
          </w:p>
        </w:tc>
        <w:tc>
          <w:tcPr>
            <w:tcW w:w="1980" w:type="dxa"/>
            <w:tcBorders>
              <w:top w:val="nil"/>
              <w:left w:val="nil"/>
              <w:bottom w:val="single" w:sz="4" w:space="0" w:color="auto"/>
              <w:right w:val="single" w:sz="4" w:space="0" w:color="auto"/>
            </w:tcBorders>
            <w:noWrap/>
            <w:vAlign w:val="bottom"/>
            <w:hideMark/>
          </w:tcPr>
          <w:p w14:paraId="7FDBCF41" w14:textId="65B74F6F"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728</w:t>
            </w:r>
          </w:p>
        </w:tc>
        <w:tc>
          <w:tcPr>
            <w:tcW w:w="2182" w:type="dxa"/>
            <w:gridSpan w:val="2"/>
            <w:tcBorders>
              <w:top w:val="nil"/>
              <w:left w:val="nil"/>
              <w:bottom w:val="single" w:sz="4" w:space="0" w:color="auto"/>
              <w:right w:val="single" w:sz="4" w:space="0" w:color="auto"/>
            </w:tcBorders>
            <w:noWrap/>
            <w:vAlign w:val="bottom"/>
            <w:hideMark/>
          </w:tcPr>
          <w:p w14:paraId="2EAAEE92" w14:textId="7BB88A2A"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w:t>
            </w:r>
            <w:r w:rsidR="00D12177">
              <w:rPr>
                <w:rFonts w:ascii="Times New Roman" w:eastAsia="Times New Roman" w:hAnsi="Times New Roman" w:cs="Times New Roman"/>
                <w:color w:val="000000"/>
                <w:sz w:val="20"/>
                <w:szCs w:val="20"/>
              </w:rPr>
              <w:t>4</w:t>
            </w:r>
          </w:p>
        </w:tc>
        <w:tc>
          <w:tcPr>
            <w:tcW w:w="2430" w:type="dxa"/>
            <w:gridSpan w:val="2"/>
            <w:tcBorders>
              <w:top w:val="nil"/>
              <w:left w:val="single" w:sz="4" w:space="0" w:color="auto"/>
              <w:bottom w:val="single" w:sz="4" w:space="0" w:color="auto"/>
              <w:right w:val="single" w:sz="4" w:space="0" w:color="auto"/>
            </w:tcBorders>
            <w:noWrap/>
            <w:vAlign w:val="bottom"/>
            <w:hideMark/>
          </w:tcPr>
          <w:p w14:paraId="6E8F178D"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95.5%</w:t>
            </w:r>
          </w:p>
        </w:tc>
      </w:tr>
      <w:tr w:rsidR="00D464C3" w:rsidRPr="00A635E7" w14:paraId="3D75E672"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1F3F3B7E"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PIC</w:t>
            </w:r>
          </w:p>
        </w:tc>
        <w:tc>
          <w:tcPr>
            <w:tcW w:w="1980" w:type="dxa"/>
            <w:tcBorders>
              <w:top w:val="nil"/>
              <w:left w:val="nil"/>
              <w:bottom w:val="single" w:sz="4" w:space="0" w:color="auto"/>
              <w:right w:val="single" w:sz="4" w:space="0" w:color="auto"/>
            </w:tcBorders>
            <w:noWrap/>
            <w:vAlign w:val="bottom"/>
            <w:hideMark/>
          </w:tcPr>
          <w:p w14:paraId="57DA1376"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91</w:t>
            </w:r>
          </w:p>
        </w:tc>
        <w:tc>
          <w:tcPr>
            <w:tcW w:w="2182" w:type="dxa"/>
            <w:gridSpan w:val="2"/>
            <w:tcBorders>
              <w:top w:val="nil"/>
              <w:left w:val="nil"/>
              <w:bottom w:val="single" w:sz="4" w:space="0" w:color="auto"/>
              <w:right w:val="single" w:sz="4" w:space="0" w:color="auto"/>
            </w:tcBorders>
            <w:noWrap/>
            <w:vAlign w:val="bottom"/>
            <w:hideMark/>
          </w:tcPr>
          <w:p w14:paraId="642979A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w:t>
            </w:r>
          </w:p>
        </w:tc>
        <w:tc>
          <w:tcPr>
            <w:tcW w:w="2430" w:type="dxa"/>
            <w:gridSpan w:val="2"/>
            <w:tcBorders>
              <w:top w:val="nil"/>
              <w:left w:val="single" w:sz="4" w:space="0" w:color="auto"/>
              <w:bottom w:val="single" w:sz="4" w:space="0" w:color="auto"/>
              <w:right w:val="single" w:sz="4" w:space="0" w:color="auto"/>
            </w:tcBorders>
            <w:noWrap/>
            <w:vAlign w:val="bottom"/>
            <w:hideMark/>
          </w:tcPr>
          <w:p w14:paraId="262D933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94.8%</w:t>
            </w:r>
          </w:p>
        </w:tc>
      </w:tr>
      <w:tr w:rsidR="00D464C3" w:rsidRPr="00A635E7" w14:paraId="31740907"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6F167D1A"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UHCNM</w:t>
            </w:r>
          </w:p>
        </w:tc>
        <w:tc>
          <w:tcPr>
            <w:tcW w:w="1980" w:type="dxa"/>
            <w:tcBorders>
              <w:top w:val="nil"/>
              <w:left w:val="nil"/>
              <w:bottom w:val="single" w:sz="4" w:space="0" w:color="auto"/>
              <w:right w:val="single" w:sz="4" w:space="0" w:color="auto"/>
            </w:tcBorders>
            <w:noWrap/>
            <w:vAlign w:val="bottom"/>
            <w:hideMark/>
          </w:tcPr>
          <w:p w14:paraId="4CCA388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w:t>
            </w:r>
          </w:p>
        </w:tc>
        <w:tc>
          <w:tcPr>
            <w:tcW w:w="2182" w:type="dxa"/>
            <w:gridSpan w:val="2"/>
            <w:tcBorders>
              <w:top w:val="nil"/>
              <w:left w:val="nil"/>
              <w:bottom w:val="single" w:sz="4" w:space="0" w:color="auto"/>
              <w:right w:val="single" w:sz="4" w:space="0" w:color="auto"/>
            </w:tcBorders>
            <w:noWrap/>
            <w:vAlign w:val="bottom"/>
            <w:hideMark/>
          </w:tcPr>
          <w:p w14:paraId="04E80E22"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430" w:type="dxa"/>
            <w:gridSpan w:val="2"/>
            <w:tcBorders>
              <w:top w:val="nil"/>
              <w:left w:val="single" w:sz="4" w:space="0" w:color="auto"/>
              <w:bottom w:val="single" w:sz="4" w:space="0" w:color="auto"/>
              <w:right w:val="single" w:sz="4" w:space="0" w:color="auto"/>
            </w:tcBorders>
            <w:noWrap/>
            <w:vAlign w:val="bottom"/>
            <w:hideMark/>
          </w:tcPr>
          <w:p w14:paraId="5572D57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A635E7" w14:paraId="4A4B7C77"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4B8B205E"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UHIC</w:t>
            </w:r>
          </w:p>
        </w:tc>
        <w:tc>
          <w:tcPr>
            <w:tcW w:w="1980" w:type="dxa"/>
            <w:tcBorders>
              <w:top w:val="nil"/>
              <w:left w:val="nil"/>
              <w:bottom w:val="single" w:sz="4" w:space="0" w:color="auto"/>
              <w:right w:val="single" w:sz="4" w:space="0" w:color="auto"/>
            </w:tcBorders>
            <w:noWrap/>
            <w:vAlign w:val="bottom"/>
            <w:hideMark/>
          </w:tcPr>
          <w:p w14:paraId="33659349"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24</w:t>
            </w:r>
          </w:p>
        </w:tc>
        <w:tc>
          <w:tcPr>
            <w:tcW w:w="2182" w:type="dxa"/>
            <w:gridSpan w:val="2"/>
            <w:tcBorders>
              <w:top w:val="nil"/>
              <w:left w:val="nil"/>
              <w:bottom w:val="single" w:sz="4" w:space="0" w:color="auto"/>
              <w:right w:val="single" w:sz="4" w:space="0" w:color="auto"/>
            </w:tcBorders>
            <w:noWrap/>
            <w:vAlign w:val="bottom"/>
            <w:hideMark/>
          </w:tcPr>
          <w:p w14:paraId="5AD028E4"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w:t>
            </w:r>
          </w:p>
        </w:tc>
        <w:tc>
          <w:tcPr>
            <w:tcW w:w="2430" w:type="dxa"/>
            <w:gridSpan w:val="2"/>
            <w:tcBorders>
              <w:top w:val="nil"/>
              <w:left w:val="single" w:sz="4" w:space="0" w:color="auto"/>
              <w:bottom w:val="single" w:sz="4" w:space="0" w:color="auto"/>
              <w:right w:val="single" w:sz="4" w:space="0" w:color="auto"/>
            </w:tcBorders>
            <w:noWrap/>
            <w:vAlign w:val="bottom"/>
            <w:hideMark/>
          </w:tcPr>
          <w:p w14:paraId="7EBD96B4"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77.4%</w:t>
            </w:r>
          </w:p>
        </w:tc>
      </w:tr>
      <w:tr w:rsidR="00D464C3" w:rsidRPr="00A635E7" w14:paraId="545449A4" w14:textId="77777777" w:rsidTr="003C5229">
        <w:trPr>
          <w:trHeight w:val="262"/>
        </w:trPr>
        <w:tc>
          <w:tcPr>
            <w:tcW w:w="2880" w:type="dxa"/>
            <w:tcBorders>
              <w:top w:val="nil"/>
              <w:left w:val="single" w:sz="4" w:space="0" w:color="auto"/>
              <w:bottom w:val="single" w:sz="4" w:space="0" w:color="auto"/>
              <w:right w:val="single" w:sz="4" w:space="0" w:color="auto"/>
            </w:tcBorders>
            <w:noWrap/>
            <w:vAlign w:val="bottom"/>
            <w:hideMark/>
          </w:tcPr>
          <w:p w14:paraId="4CF2AB7C"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WSCC</w:t>
            </w:r>
          </w:p>
        </w:tc>
        <w:tc>
          <w:tcPr>
            <w:tcW w:w="1980" w:type="dxa"/>
            <w:tcBorders>
              <w:top w:val="nil"/>
              <w:left w:val="nil"/>
              <w:bottom w:val="single" w:sz="4" w:space="0" w:color="auto"/>
              <w:right w:val="single" w:sz="4" w:space="0" w:color="auto"/>
            </w:tcBorders>
            <w:noWrap/>
            <w:vAlign w:val="bottom"/>
            <w:hideMark/>
          </w:tcPr>
          <w:p w14:paraId="14A98E1D"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24</w:t>
            </w:r>
          </w:p>
        </w:tc>
        <w:tc>
          <w:tcPr>
            <w:tcW w:w="2182" w:type="dxa"/>
            <w:gridSpan w:val="2"/>
            <w:tcBorders>
              <w:top w:val="nil"/>
              <w:left w:val="nil"/>
              <w:bottom w:val="single" w:sz="4" w:space="0" w:color="auto"/>
              <w:right w:val="single" w:sz="4" w:space="0" w:color="auto"/>
            </w:tcBorders>
            <w:noWrap/>
            <w:vAlign w:val="bottom"/>
            <w:hideMark/>
          </w:tcPr>
          <w:p w14:paraId="47BDAEC0"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17</w:t>
            </w:r>
          </w:p>
        </w:tc>
        <w:tc>
          <w:tcPr>
            <w:tcW w:w="2430" w:type="dxa"/>
            <w:gridSpan w:val="2"/>
            <w:tcBorders>
              <w:top w:val="nil"/>
              <w:left w:val="single" w:sz="4" w:space="0" w:color="auto"/>
              <w:bottom w:val="single" w:sz="4" w:space="0" w:color="auto"/>
              <w:right w:val="single" w:sz="4" w:space="0" w:color="auto"/>
            </w:tcBorders>
            <w:noWrap/>
            <w:vAlign w:val="bottom"/>
            <w:hideMark/>
          </w:tcPr>
          <w:p w14:paraId="52E5C8C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58.5%</w:t>
            </w:r>
          </w:p>
        </w:tc>
      </w:tr>
      <w:tr w:rsidR="00D464C3" w:rsidRPr="00A635E7" w14:paraId="166639A8" w14:textId="77777777" w:rsidTr="003C5229">
        <w:trPr>
          <w:trHeight w:val="262"/>
        </w:trPr>
        <w:tc>
          <w:tcPr>
            <w:tcW w:w="2880" w:type="dxa"/>
            <w:tcBorders>
              <w:top w:val="nil"/>
              <w:left w:val="nil"/>
              <w:bottom w:val="nil"/>
              <w:right w:val="nil"/>
            </w:tcBorders>
            <w:noWrap/>
            <w:vAlign w:val="bottom"/>
            <w:hideMark/>
          </w:tcPr>
          <w:p w14:paraId="409A0021" w14:textId="77777777" w:rsidR="00D464C3" w:rsidRPr="00A726B3" w:rsidRDefault="00D464C3" w:rsidP="00D12177">
            <w:pPr>
              <w:spacing w:after="0" w:line="240" w:lineRule="auto"/>
              <w:jc w:val="right"/>
              <w:rPr>
                <w:rFonts w:ascii="Times New Roman" w:eastAsia="Times New Roman" w:hAnsi="Times New Roman" w:cs="Times New Roman"/>
                <w:color w:val="000000"/>
              </w:rPr>
            </w:pPr>
          </w:p>
        </w:tc>
        <w:tc>
          <w:tcPr>
            <w:tcW w:w="1980" w:type="dxa"/>
            <w:tcBorders>
              <w:top w:val="nil"/>
              <w:left w:val="nil"/>
              <w:bottom w:val="nil"/>
              <w:right w:val="nil"/>
            </w:tcBorders>
            <w:noWrap/>
            <w:vAlign w:val="bottom"/>
            <w:hideMark/>
          </w:tcPr>
          <w:p w14:paraId="6F03CCE0" w14:textId="77777777" w:rsidR="00D464C3" w:rsidRPr="00A635E7" w:rsidRDefault="00D464C3" w:rsidP="00D12177">
            <w:pPr>
              <w:spacing w:after="0" w:line="240" w:lineRule="auto"/>
              <w:rPr>
                <w:rFonts w:ascii="Times New Roman" w:eastAsia="Times New Roman" w:hAnsi="Times New Roman" w:cs="Times New Roman"/>
                <w:sz w:val="20"/>
                <w:szCs w:val="20"/>
              </w:rPr>
            </w:pPr>
          </w:p>
        </w:tc>
        <w:tc>
          <w:tcPr>
            <w:tcW w:w="2182" w:type="dxa"/>
            <w:gridSpan w:val="2"/>
            <w:tcBorders>
              <w:top w:val="nil"/>
              <w:left w:val="nil"/>
              <w:bottom w:val="nil"/>
              <w:right w:val="nil"/>
            </w:tcBorders>
            <w:noWrap/>
            <w:vAlign w:val="bottom"/>
            <w:hideMark/>
          </w:tcPr>
          <w:p w14:paraId="7FD793E0" w14:textId="77777777" w:rsidR="00D464C3" w:rsidRPr="00A635E7" w:rsidRDefault="00D464C3" w:rsidP="00D12177">
            <w:pPr>
              <w:spacing w:after="0" w:line="240" w:lineRule="auto"/>
              <w:rPr>
                <w:rFonts w:ascii="Times New Roman" w:eastAsia="Times New Roman" w:hAnsi="Times New Roman" w:cs="Times New Roman"/>
                <w:sz w:val="20"/>
                <w:szCs w:val="20"/>
              </w:rPr>
            </w:pPr>
          </w:p>
        </w:tc>
        <w:tc>
          <w:tcPr>
            <w:tcW w:w="2430" w:type="dxa"/>
            <w:gridSpan w:val="2"/>
            <w:tcBorders>
              <w:top w:val="nil"/>
              <w:left w:val="nil"/>
              <w:bottom w:val="nil"/>
              <w:right w:val="nil"/>
            </w:tcBorders>
            <w:noWrap/>
            <w:vAlign w:val="bottom"/>
            <w:hideMark/>
          </w:tcPr>
          <w:p w14:paraId="0C50E4CD" w14:textId="77777777" w:rsidR="00D464C3" w:rsidRPr="00A635E7" w:rsidRDefault="00D464C3" w:rsidP="00D12177">
            <w:pPr>
              <w:spacing w:after="0" w:line="240" w:lineRule="auto"/>
              <w:rPr>
                <w:rFonts w:ascii="Times New Roman" w:eastAsia="Times New Roman" w:hAnsi="Times New Roman" w:cs="Times New Roman"/>
                <w:sz w:val="20"/>
                <w:szCs w:val="20"/>
              </w:rPr>
            </w:pPr>
          </w:p>
        </w:tc>
      </w:tr>
      <w:tr w:rsidR="00D464C3" w:rsidRPr="00935503" w14:paraId="1CBFD01C" w14:textId="77777777" w:rsidTr="003C5229">
        <w:trPr>
          <w:gridAfter w:val="1"/>
          <w:wAfter w:w="22" w:type="dxa"/>
          <w:trHeight w:val="262"/>
        </w:trPr>
        <w:tc>
          <w:tcPr>
            <w:tcW w:w="9450" w:type="dxa"/>
            <w:gridSpan w:val="5"/>
            <w:tcBorders>
              <w:top w:val="nil"/>
              <w:left w:val="nil"/>
              <w:bottom w:val="nil"/>
              <w:right w:val="nil"/>
            </w:tcBorders>
            <w:noWrap/>
            <w:vAlign w:val="bottom"/>
            <w:hideMark/>
          </w:tcPr>
          <w:p w14:paraId="6ABEA9CF"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p>
          <w:p w14:paraId="2F856ADA"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p>
          <w:p w14:paraId="2C610251"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p>
          <w:p w14:paraId="20A29E17" w14:textId="77777777" w:rsidR="00D464C3" w:rsidRDefault="00D464C3" w:rsidP="00D12177">
            <w:pPr>
              <w:spacing w:after="0" w:line="240" w:lineRule="auto"/>
              <w:jc w:val="center"/>
              <w:rPr>
                <w:rFonts w:ascii="Times New Roman" w:eastAsia="Times New Roman" w:hAnsi="Times New Roman" w:cs="Times New Roman"/>
                <w:b/>
                <w:color w:val="000000"/>
              </w:rPr>
            </w:pPr>
          </w:p>
          <w:p w14:paraId="1997A8D5" w14:textId="77777777" w:rsidR="00D464C3" w:rsidRDefault="00D464C3" w:rsidP="00D12177">
            <w:pPr>
              <w:spacing w:after="0" w:line="240" w:lineRule="auto"/>
              <w:jc w:val="center"/>
              <w:rPr>
                <w:rFonts w:ascii="Times New Roman" w:eastAsia="Times New Roman" w:hAnsi="Times New Roman" w:cs="Times New Roman"/>
                <w:b/>
                <w:color w:val="000000"/>
              </w:rPr>
            </w:pPr>
          </w:p>
          <w:p w14:paraId="6A34AA00" w14:textId="77777777" w:rsidR="00D464C3" w:rsidRDefault="00D464C3" w:rsidP="00D12177">
            <w:pPr>
              <w:spacing w:after="0" w:line="240" w:lineRule="auto"/>
              <w:jc w:val="center"/>
              <w:rPr>
                <w:rFonts w:ascii="Times New Roman" w:eastAsia="Times New Roman" w:hAnsi="Times New Roman" w:cs="Times New Roman"/>
                <w:b/>
                <w:color w:val="000000"/>
              </w:rPr>
            </w:pPr>
          </w:p>
          <w:p w14:paraId="016AABCE" w14:textId="77777777" w:rsidR="00D464C3" w:rsidRDefault="00D464C3" w:rsidP="00D12177">
            <w:pPr>
              <w:spacing w:after="0" w:line="240" w:lineRule="auto"/>
              <w:jc w:val="center"/>
              <w:rPr>
                <w:rFonts w:ascii="Times New Roman" w:eastAsia="Times New Roman" w:hAnsi="Times New Roman" w:cs="Times New Roman"/>
                <w:b/>
                <w:color w:val="000000"/>
              </w:rPr>
            </w:pPr>
          </w:p>
          <w:p w14:paraId="744D9D3A" w14:textId="77777777" w:rsidR="00D464C3" w:rsidRDefault="00D464C3" w:rsidP="00D12177">
            <w:pPr>
              <w:spacing w:after="0" w:line="240" w:lineRule="auto"/>
              <w:jc w:val="center"/>
              <w:rPr>
                <w:rFonts w:ascii="Times New Roman" w:eastAsia="Times New Roman" w:hAnsi="Times New Roman" w:cs="Times New Roman"/>
                <w:b/>
                <w:color w:val="000000"/>
              </w:rPr>
            </w:pPr>
          </w:p>
          <w:p w14:paraId="6095BE65" w14:textId="77777777" w:rsidR="00D464C3" w:rsidRDefault="00D464C3" w:rsidP="00D12177">
            <w:pPr>
              <w:spacing w:after="0" w:line="240" w:lineRule="auto"/>
              <w:jc w:val="center"/>
              <w:rPr>
                <w:rFonts w:ascii="Times New Roman" w:eastAsia="Times New Roman" w:hAnsi="Times New Roman" w:cs="Times New Roman"/>
                <w:b/>
                <w:color w:val="000000"/>
              </w:rPr>
            </w:pPr>
          </w:p>
          <w:p w14:paraId="6BB60586" w14:textId="77777777" w:rsidR="00D464C3" w:rsidRDefault="00D464C3" w:rsidP="00D12177">
            <w:pPr>
              <w:spacing w:after="0" w:line="240" w:lineRule="auto"/>
              <w:jc w:val="center"/>
              <w:rPr>
                <w:rFonts w:ascii="Times New Roman" w:eastAsia="Times New Roman" w:hAnsi="Times New Roman" w:cs="Times New Roman"/>
                <w:b/>
                <w:color w:val="000000"/>
              </w:rPr>
            </w:pPr>
          </w:p>
          <w:p w14:paraId="40FEE7E8"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p>
          <w:p w14:paraId="0E137D6F"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Pharmacy Services - </w:t>
            </w:r>
            <w:r w:rsidRPr="00A726B3">
              <w:rPr>
                <w:rFonts w:ascii="Times New Roman" w:eastAsia="Times New Roman" w:hAnsi="Times New Roman" w:cs="Times New Roman"/>
                <w:b/>
                <w:color w:val="000000"/>
              </w:rPr>
              <w:t>Prescription Drug Volumes by Insurer – Calendar Year 2023</w:t>
            </w:r>
          </w:p>
        </w:tc>
      </w:tr>
      <w:tr w:rsidR="00D464C3" w:rsidRPr="00935503" w14:paraId="5B9A842D" w14:textId="77777777" w:rsidTr="003C5229">
        <w:trPr>
          <w:gridAfter w:val="1"/>
          <w:wAfter w:w="22" w:type="dxa"/>
          <w:trHeight w:val="789"/>
        </w:trPr>
        <w:tc>
          <w:tcPr>
            <w:tcW w:w="2880" w:type="dxa"/>
            <w:tcBorders>
              <w:top w:val="single" w:sz="4" w:space="0" w:color="auto"/>
              <w:left w:val="single" w:sz="4" w:space="0" w:color="auto"/>
              <w:bottom w:val="single" w:sz="4" w:space="0" w:color="auto"/>
              <w:right w:val="single" w:sz="4" w:space="0" w:color="auto"/>
            </w:tcBorders>
            <w:vAlign w:val="bottom"/>
            <w:hideMark/>
          </w:tcPr>
          <w:p w14:paraId="059F9246" w14:textId="77777777" w:rsidR="00D464C3" w:rsidRPr="00A726B3" w:rsidRDefault="00D464C3" w:rsidP="00D12177">
            <w:pPr>
              <w:spacing w:after="0" w:line="240" w:lineRule="auto"/>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lastRenderedPageBreak/>
              <w:t xml:space="preserve">Standard </w:t>
            </w:r>
            <w:r w:rsidRPr="00A726B3">
              <w:rPr>
                <w:rFonts w:ascii="Times New Roman" w:eastAsia="Times New Roman" w:hAnsi="Times New Roman" w:cs="Times New Roman"/>
                <w:b/>
                <w:color w:val="000000"/>
              </w:rPr>
              <w:br/>
              <w:t>Prescription Drug</w:t>
            </w:r>
            <w:r>
              <w:rPr>
                <w:rFonts w:ascii="Times New Roman" w:eastAsia="Times New Roman" w:hAnsi="Times New Roman" w:cs="Times New Roman"/>
                <w:b/>
                <w:color w:val="000000"/>
              </w:rPr>
              <w:t xml:space="preserve"> Requests</w:t>
            </w:r>
          </w:p>
        </w:tc>
        <w:tc>
          <w:tcPr>
            <w:tcW w:w="1980" w:type="dxa"/>
            <w:tcBorders>
              <w:top w:val="single" w:sz="4" w:space="0" w:color="auto"/>
              <w:left w:val="nil"/>
              <w:bottom w:val="single" w:sz="4" w:space="0" w:color="auto"/>
              <w:right w:val="single" w:sz="4" w:space="0" w:color="auto"/>
            </w:tcBorders>
            <w:shd w:val="clear" w:color="auto" w:fill="8ED973"/>
            <w:vAlign w:val="bottom"/>
            <w:hideMark/>
          </w:tcPr>
          <w:p w14:paraId="55BB4193"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 xml:space="preserve">Met </w:t>
            </w:r>
            <w:r w:rsidRPr="00A726B3">
              <w:rPr>
                <w:rFonts w:ascii="Times New Roman" w:eastAsia="Times New Roman" w:hAnsi="Times New Roman" w:cs="Times New Roman"/>
                <w:b/>
                <w:color w:val="000000"/>
              </w:rPr>
              <w:br/>
              <w:t>Requirements</w:t>
            </w:r>
          </w:p>
        </w:tc>
        <w:tc>
          <w:tcPr>
            <w:tcW w:w="1980" w:type="dxa"/>
            <w:tcBorders>
              <w:top w:val="single" w:sz="4" w:space="0" w:color="auto"/>
              <w:left w:val="nil"/>
              <w:bottom w:val="single" w:sz="4" w:space="0" w:color="auto"/>
              <w:right w:val="single" w:sz="4" w:space="0" w:color="auto"/>
            </w:tcBorders>
            <w:vAlign w:val="bottom"/>
            <w:hideMark/>
          </w:tcPr>
          <w:p w14:paraId="0BCF7C72"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Did Not Meet Requirements</w:t>
            </w:r>
          </w:p>
        </w:tc>
        <w:tc>
          <w:tcPr>
            <w:tcW w:w="2610" w:type="dxa"/>
            <w:gridSpan w:val="2"/>
            <w:tcBorders>
              <w:top w:val="single" w:sz="4" w:space="0" w:color="auto"/>
              <w:left w:val="single" w:sz="4" w:space="0" w:color="auto"/>
              <w:bottom w:val="single" w:sz="4" w:space="0" w:color="auto"/>
              <w:right w:val="single" w:sz="4" w:space="0" w:color="auto"/>
            </w:tcBorders>
            <w:vAlign w:val="bottom"/>
            <w:hideMark/>
          </w:tcPr>
          <w:p w14:paraId="31E5E54D"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Percent Meeting</w:t>
            </w:r>
            <w:r w:rsidRPr="00A726B3">
              <w:rPr>
                <w:rFonts w:ascii="Times New Roman" w:eastAsia="Times New Roman" w:hAnsi="Times New Roman" w:cs="Times New Roman"/>
                <w:b/>
              </w:rPr>
              <w:br/>
              <w:t xml:space="preserve"> Timeliness</w:t>
            </w:r>
          </w:p>
        </w:tc>
      </w:tr>
      <w:tr w:rsidR="00D464C3" w:rsidRPr="00935503" w14:paraId="5D727469"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51CD9DF2"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BCBSNM</w:t>
            </w:r>
          </w:p>
        </w:tc>
        <w:tc>
          <w:tcPr>
            <w:tcW w:w="1980" w:type="dxa"/>
            <w:tcBorders>
              <w:top w:val="nil"/>
              <w:left w:val="nil"/>
              <w:bottom w:val="single" w:sz="4" w:space="0" w:color="auto"/>
              <w:right w:val="single" w:sz="4" w:space="0" w:color="auto"/>
            </w:tcBorders>
            <w:noWrap/>
            <w:vAlign w:val="bottom"/>
            <w:hideMark/>
          </w:tcPr>
          <w:p w14:paraId="58312075"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5,266</w:t>
            </w:r>
          </w:p>
        </w:tc>
        <w:tc>
          <w:tcPr>
            <w:tcW w:w="1980" w:type="dxa"/>
            <w:tcBorders>
              <w:top w:val="nil"/>
              <w:left w:val="nil"/>
              <w:bottom w:val="single" w:sz="4" w:space="0" w:color="auto"/>
              <w:right w:val="single" w:sz="4" w:space="0" w:color="auto"/>
            </w:tcBorders>
            <w:noWrap/>
            <w:vAlign w:val="bottom"/>
            <w:hideMark/>
          </w:tcPr>
          <w:p w14:paraId="6FB716A5"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469</w:t>
            </w:r>
          </w:p>
        </w:tc>
        <w:tc>
          <w:tcPr>
            <w:tcW w:w="2610" w:type="dxa"/>
            <w:gridSpan w:val="2"/>
            <w:tcBorders>
              <w:top w:val="nil"/>
              <w:left w:val="single" w:sz="4" w:space="0" w:color="auto"/>
              <w:bottom w:val="single" w:sz="4" w:space="0" w:color="auto"/>
              <w:right w:val="single" w:sz="4" w:space="0" w:color="auto"/>
            </w:tcBorders>
            <w:noWrap/>
            <w:vAlign w:val="bottom"/>
            <w:hideMark/>
          </w:tcPr>
          <w:p w14:paraId="5DECB89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91.8%</w:t>
            </w:r>
          </w:p>
        </w:tc>
      </w:tr>
      <w:tr w:rsidR="00D464C3" w:rsidRPr="00935503" w14:paraId="7FAAD7B0"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0AE8CE25"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Cigna</w:t>
            </w:r>
          </w:p>
        </w:tc>
        <w:tc>
          <w:tcPr>
            <w:tcW w:w="1980" w:type="dxa"/>
            <w:tcBorders>
              <w:top w:val="nil"/>
              <w:left w:val="nil"/>
              <w:bottom w:val="single" w:sz="4" w:space="0" w:color="auto"/>
              <w:right w:val="single" w:sz="4" w:space="0" w:color="auto"/>
            </w:tcBorders>
            <w:noWrap/>
            <w:vAlign w:val="bottom"/>
            <w:hideMark/>
          </w:tcPr>
          <w:p w14:paraId="2039076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251</w:t>
            </w:r>
          </w:p>
        </w:tc>
        <w:tc>
          <w:tcPr>
            <w:tcW w:w="1980" w:type="dxa"/>
            <w:tcBorders>
              <w:top w:val="nil"/>
              <w:left w:val="nil"/>
              <w:bottom w:val="single" w:sz="4" w:space="0" w:color="auto"/>
              <w:right w:val="single" w:sz="4" w:space="0" w:color="auto"/>
            </w:tcBorders>
            <w:noWrap/>
            <w:vAlign w:val="bottom"/>
            <w:hideMark/>
          </w:tcPr>
          <w:p w14:paraId="46DEE452"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108</w:t>
            </w:r>
          </w:p>
        </w:tc>
        <w:tc>
          <w:tcPr>
            <w:tcW w:w="2610" w:type="dxa"/>
            <w:gridSpan w:val="2"/>
            <w:tcBorders>
              <w:top w:val="nil"/>
              <w:left w:val="single" w:sz="4" w:space="0" w:color="auto"/>
              <w:bottom w:val="single" w:sz="4" w:space="0" w:color="auto"/>
              <w:right w:val="single" w:sz="4" w:space="0" w:color="auto"/>
            </w:tcBorders>
            <w:noWrap/>
            <w:vAlign w:val="bottom"/>
            <w:hideMark/>
          </w:tcPr>
          <w:p w14:paraId="6FEA0410"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69.9%</w:t>
            </w:r>
          </w:p>
        </w:tc>
      </w:tr>
      <w:tr w:rsidR="00D464C3" w:rsidRPr="00935503" w14:paraId="7844F0CF"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58218122"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Molina</w:t>
            </w:r>
          </w:p>
        </w:tc>
        <w:tc>
          <w:tcPr>
            <w:tcW w:w="1980" w:type="dxa"/>
            <w:tcBorders>
              <w:top w:val="nil"/>
              <w:left w:val="nil"/>
              <w:bottom w:val="single" w:sz="4" w:space="0" w:color="auto"/>
              <w:right w:val="single" w:sz="4" w:space="0" w:color="auto"/>
            </w:tcBorders>
            <w:noWrap/>
            <w:vAlign w:val="bottom"/>
            <w:hideMark/>
          </w:tcPr>
          <w:p w14:paraId="1863DB7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780</w:t>
            </w:r>
          </w:p>
        </w:tc>
        <w:tc>
          <w:tcPr>
            <w:tcW w:w="1980" w:type="dxa"/>
            <w:tcBorders>
              <w:top w:val="nil"/>
              <w:left w:val="nil"/>
              <w:bottom w:val="single" w:sz="4" w:space="0" w:color="auto"/>
              <w:right w:val="single" w:sz="4" w:space="0" w:color="auto"/>
            </w:tcBorders>
            <w:noWrap/>
            <w:vAlign w:val="bottom"/>
            <w:hideMark/>
          </w:tcPr>
          <w:p w14:paraId="49E7C743"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610" w:type="dxa"/>
            <w:gridSpan w:val="2"/>
            <w:tcBorders>
              <w:top w:val="nil"/>
              <w:left w:val="single" w:sz="4" w:space="0" w:color="auto"/>
              <w:bottom w:val="single" w:sz="4" w:space="0" w:color="auto"/>
              <w:right w:val="single" w:sz="4" w:space="0" w:color="auto"/>
            </w:tcBorders>
            <w:noWrap/>
            <w:vAlign w:val="bottom"/>
            <w:hideMark/>
          </w:tcPr>
          <w:p w14:paraId="5BD43D6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935503" w14:paraId="1179F14A"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07D72539"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PHP</w:t>
            </w:r>
          </w:p>
        </w:tc>
        <w:tc>
          <w:tcPr>
            <w:tcW w:w="1980" w:type="dxa"/>
            <w:tcBorders>
              <w:top w:val="nil"/>
              <w:left w:val="nil"/>
              <w:bottom w:val="single" w:sz="4" w:space="0" w:color="auto"/>
              <w:right w:val="single" w:sz="4" w:space="0" w:color="auto"/>
            </w:tcBorders>
            <w:noWrap/>
            <w:vAlign w:val="bottom"/>
            <w:hideMark/>
          </w:tcPr>
          <w:p w14:paraId="63BB9E19" w14:textId="10AEF825"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w:t>
            </w:r>
            <w:r w:rsidR="00D12177">
              <w:rPr>
                <w:rFonts w:ascii="Times New Roman" w:eastAsia="Times New Roman" w:hAnsi="Times New Roman" w:cs="Times New Roman"/>
                <w:color w:val="000000"/>
                <w:sz w:val="20"/>
                <w:szCs w:val="20"/>
              </w:rPr>
              <w:t>12</w:t>
            </w:r>
            <w:r w:rsidR="00057FD2">
              <w:rPr>
                <w:rFonts w:ascii="Times New Roman" w:eastAsia="Times New Roman" w:hAnsi="Times New Roman" w:cs="Times New Roman"/>
                <w:color w:val="000000"/>
                <w:sz w:val="20"/>
                <w:szCs w:val="20"/>
              </w:rPr>
              <w:t>2</w:t>
            </w:r>
          </w:p>
        </w:tc>
        <w:tc>
          <w:tcPr>
            <w:tcW w:w="1980" w:type="dxa"/>
            <w:tcBorders>
              <w:top w:val="nil"/>
              <w:left w:val="nil"/>
              <w:bottom w:val="single" w:sz="4" w:space="0" w:color="auto"/>
              <w:right w:val="single" w:sz="4" w:space="0" w:color="auto"/>
            </w:tcBorders>
            <w:noWrap/>
            <w:vAlign w:val="bottom"/>
            <w:hideMark/>
          </w:tcPr>
          <w:p w14:paraId="2FAD0D3C" w14:textId="06ED49CF"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2610" w:type="dxa"/>
            <w:gridSpan w:val="2"/>
            <w:tcBorders>
              <w:top w:val="nil"/>
              <w:left w:val="single" w:sz="4" w:space="0" w:color="auto"/>
              <w:bottom w:val="single" w:sz="4" w:space="0" w:color="auto"/>
              <w:right w:val="single" w:sz="4" w:space="0" w:color="auto"/>
            </w:tcBorders>
            <w:noWrap/>
            <w:vAlign w:val="bottom"/>
            <w:hideMark/>
          </w:tcPr>
          <w:p w14:paraId="1CE17CB5"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99.7%</w:t>
            </w:r>
          </w:p>
        </w:tc>
      </w:tr>
      <w:tr w:rsidR="00D464C3" w:rsidRPr="00935503" w14:paraId="687DEF13"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0E2A6CF1"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PIC</w:t>
            </w:r>
          </w:p>
        </w:tc>
        <w:tc>
          <w:tcPr>
            <w:tcW w:w="1980" w:type="dxa"/>
            <w:tcBorders>
              <w:top w:val="nil"/>
              <w:left w:val="nil"/>
              <w:bottom w:val="single" w:sz="4" w:space="0" w:color="auto"/>
              <w:right w:val="single" w:sz="4" w:space="0" w:color="auto"/>
            </w:tcBorders>
            <w:noWrap/>
            <w:vAlign w:val="bottom"/>
            <w:hideMark/>
          </w:tcPr>
          <w:p w14:paraId="0CA210D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638</w:t>
            </w:r>
          </w:p>
        </w:tc>
        <w:tc>
          <w:tcPr>
            <w:tcW w:w="1980" w:type="dxa"/>
            <w:tcBorders>
              <w:top w:val="nil"/>
              <w:left w:val="nil"/>
              <w:bottom w:val="single" w:sz="4" w:space="0" w:color="auto"/>
              <w:right w:val="single" w:sz="4" w:space="0" w:color="auto"/>
            </w:tcBorders>
            <w:noWrap/>
            <w:vAlign w:val="bottom"/>
            <w:hideMark/>
          </w:tcPr>
          <w:p w14:paraId="406D309F"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w:t>
            </w:r>
          </w:p>
        </w:tc>
        <w:tc>
          <w:tcPr>
            <w:tcW w:w="2610" w:type="dxa"/>
            <w:gridSpan w:val="2"/>
            <w:tcBorders>
              <w:top w:val="nil"/>
              <w:left w:val="single" w:sz="4" w:space="0" w:color="auto"/>
              <w:bottom w:val="single" w:sz="4" w:space="0" w:color="auto"/>
              <w:right w:val="single" w:sz="4" w:space="0" w:color="auto"/>
            </w:tcBorders>
            <w:noWrap/>
            <w:vAlign w:val="bottom"/>
            <w:hideMark/>
          </w:tcPr>
          <w:p w14:paraId="37EF0AC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99.5%</w:t>
            </w:r>
          </w:p>
        </w:tc>
      </w:tr>
      <w:tr w:rsidR="00D464C3" w:rsidRPr="00935503" w14:paraId="55E3A597"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4249AA3B"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UHCNM</w:t>
            </w:r>
          </w:p>
        </w:tc>
        <w:tc>
          <w:tcPr>
            <w:tcW w:w="1980" w:type="dxa"/>
            <w:tcBorders>
              <w:top w:val="nil"/>
              <w:left w:val="nil"/>
              <w:bottom w:val="single" w:sz="4" w:space="0" w:color="auto"/>
              <w:right w:val="single" w:sz="4" w:space="0" w:color="auto"/>
            </w:tcBorders>
            <w:noWrap/>
            <w:vAlign w:val="bottom"/>
            <w:hideMark/>
          </w:tcPr>
          <w:p w14:paraId="1F147CB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176</w:t>
            </w:r>
          </w:p>
        </w:tc>
        <w:tc>
          <w:tcPr>
            <w:tcW w:w="1980" w:type="dxa"/>
            <w:tcBorders>
              <w:top w:val="nil"/>
              <w:left w:val="nil"/>
              <w:bottom w:val="single" w:sz="4" w:space="0" w:color="auto"/>
              <w:right w:val="single" w:sz="4" w:space="0" w:color="auto"/>
            </w:tcBorders>
            <w:noWrap/>
            <w:vAlign w:val="bottom"/>
            <w:hideMark/>
          </w:tcPr>
          <w:p w14:paraId="700145C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610" w:type="dxa"/>
            <w:gridSpan w:val="2"/>
            <w:tcBorders>
              <w:top w:val="nil"/>
              <w:left w:val="single" w:sz="4" w:space="0" w:color="auto"/>
              <w:bottom w:val="single" w:sz="4" w:space="0" w:color="auto"/>
              <w:right w:val="single" w:sz="4" w:space="0" w:color="auto"/>
            </w:tcBorders>
            <w:noWrap/>
            <w:vAlign w:val="bottom"/>
            <w:hideMark/>
          </w:tcPr>
          <w:p w14:paraId="7BDFDB0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935503" w14:paraId="15408841"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1954754A"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UHIC</w:t>
            </w:r>
          </w:p>
        </w:tc>
        <w:tc>
          <w:tcPr>
            <w:tcW w:w="1980" w:type="dxa"/>
            <w:tcBorders>
              <w:top w:val="nil"/>
              <w:left w:val="nil"/>
              <w:bottom w:val="single" w:sz="4" w:space="0" w:color="auto"/>
              <w:right w:val="single" w:sz="4" w:space="0" w:color="auto"/>
            </w:tcBorders>
            <w:noWrap/>
            <w:vAlign w:val="bottom"/>
            <w:hideMark/>
          </w:tcPr>
          <w:p w14:paraId="58244CC8"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2,097</w:t>
            </w:r>
          </w:p>
        </w:tc>
        <w:tc>
          <w:tcPr>
            <w:tcW w:w="1980" w:type="dxa"/>
            <w:tcBorders>
              <w:top w:val="nil"/>
              <w:left w:val="nil"/>
              <w:bottom w:val="single" w:sz="4" w:space="0" w:color="auto"/>
              <w:right w:val="single" w:sz="4" w:space="0" w:color="auto"/>
            </w:tcBorders>
            <w:noWrap/>
            <w:vAlign w:val="bottom"/>
            <w:hideMark/>
          </w:tcPr>
          <w:p w14:paraId="03A277A4"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23</w:t>
            </w:r>
          </w:p>
        </w:tc>
        <w:tc>
          <w:tcPr>
            <w:tcW w:w="2610" w:type="dxa"/>
            <w:gridSpan w:val="2"/>
            <w:tcBorders>
              <w:top w:val="nil"/>
              <w:left w:val="single" w:sz="4" w:space="0" w:color="auto"/>
              <w:bottom w:val="single" w:sz="4" w:space="0" w:color="auto"/>
              <w:right w:val="single" w:sz="4" w:space="0" w:color="auto"/>
            </w:tcBorders>
            <w:noWrap/>
            <w:vAlign w:val="bottom"/>
            <w:hideMark/>
          </w:tcPr>
          <w:p w14:paraId="0AD48009"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98.9%</w:t>
            </w:r>
          </w:p>
        </w:tc>
      </w:tr>
      <w:tr w:rsidR="00D464C3" w:rsidRPr="00935503" w14:paraId="2254D772"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67B7D4D1"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WSCC</w:t>
            </w:r>
          </w:p>
        </w:tc>
        <w:tc>
          <w:tcPr>
            <w:tcW w:w="1980" w:type="dxa"/>
            <w:tcBorders>
              <w:top w:val="nil"/>
              <w:left w:val="nil"/>
              <w:bottom w:val="single" w:sz="4" w:space="0" w:color="auto"/>
              <w:right w:val="single" w:sz="4" w:space="0" w:color="auto"/>
            </w:tcBorders>
            <w:noWrap/>
            <w:vAlign w:val="bottom"/>
            <w:hideMark/>
          </w:tcPr>
          <w:p w14:paraId="126C406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528</w:t>
            </w:r>
          </w:p>
        </w:tc>
        <w:tc>
          <w:tcPr>
            <w:tcW w:w="1980" w:type="dxa"/>
            <w:tcBorders>
              <w:top w:val="nil"/>
              <w:left w:val="nil"/>
              <w:bottom w:val="single" w:sz="4" w:space="0" w:color="auto"/>
              <w:right w:val="single" w:sz="4" w:space="0" w:color="auto"/>
            </w:tcBorders>
            <w:noWrap/>
            <w:vAlign w:val="bottom"/>
            <w:hideMark/>
          </w:tcPr>
          <w:p w14:paraId="5DEF672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610" w:type="dxa"/>
            <w:gridSpan w:val="2"/>
            <w:tcBorders>
              <w:top w:val="nil"/>
              <w:left w:val="single" w:sz="4" w:space="0" w:color="auto"/>
              <w:bottom w:val="single" w:sz="4" w:space="0" w:color="auto"/>
              <w:right w:val="single" w:sz="4" w:space="0" w:color="auto"/>
            </w:tcBorders>
            <w:noWrap/>
            <w:vAlign w:val="bottom"/>
            <w:hideMark/>
          </w:tcPr>
          <w:p w14:paraId="4455957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935503" w14:paraId="441575CF" w14:textId="77777777" w:rsidTr="003C5229">
        <w:trPr>
          <w:gridAfter w:val="1"/>
          <w:wAfter w:w="22" w:type="dxa"/>
          <w:trHeight w:val="359"/>
        </w:trPr>
        <w:tc>
          <w:tcPr>
            <w:tcW w:w="2880" w:type="dxa"/>
            <w:tcBorders>
              <w:top w:val="nil"/>
              <w:left w:val="nil"/>
              <w:bottom w:val="nil"/>
              <w:right w:val="nil"/>
            </w:tcBorders>
            <w:noWrap/>
            <w:vAlign w:val="bottom"/>
            <w:hideMark/>
          </w:tcPr>
          <w:p w14:paraId="2BD9EDA2" w14:textId="77777777" w:rsidR="00D464C3" w:rsidRPr="00A726B3" w:rsidRDefault="00D464C3" w:rsidP="00D12177">
            <w:pPr>
              <w:spacing w:after="0" w:line="240" w:lineRule="auto"/>
              <w:jc w:val="right"/>
              <w:rPr>
                <w:rFonts w:ascii="Times New Roman" w:eastAsia="Times New Roman" w:hAnsi="Times New Roman" w:cs="Times New Roman"/>
                <w:color w:val="000000"/>
              </w:rPr>
            </w:pPr>
          </w:p>
        </w:tc>
        <w:tc>
          <w:tcPr>
            <w:tcW w:w="1980" w:type="dxa"/>
            <w:tcBorders>
              <w:top w:val="nil"/>
              <w:left w:val="nil"/>
              <w:bottom w:val="nil"/>
              <w:right w:val="nil"/>
            </w:tcBorders>
            <w:noWrap/>
            <w:vAlign w:val="bottom"/>
            <w:hideMark/>
          </w:tcPr>
          <w:p w14:paraId="627E22B0" w14:textId="77777777" w:rsidR="00D464C3" w:rsidRPr="00935503" w:rsidRDefault="00D464C3" w:rsidP="00D12177">
            <w:pPr>
              <w:spacing w:after="0" w:line="240" w:lineRule="auto"/>
              <w:jc w:val="center"/>
              <w:rPr>
                <w:rFonts w:ascii="Times New Roman" w:eastAsia="Times New Roman" w:hAnsi="Times New Roman" w:cs="Times New Roman"/>
                <w:sz w:val="20"/>
                <w:szCs w:val="20"/>
              </w:rPr>
            </w:pPr>
          </w:p>
        </w:tc>
        <w:tc>
          <w:tcPr>
            <w:tcW w:w="1980" w:type="dxa"/>
            <w:tcBorders>
              <w:top w:val="nil"/>
              <w:left w:val="nil"/>
              <w:bottom w:val="nil"/>
              <w:right w:val="nil"/>
            </w:tcBorders>
            <w:noWrap/>
            <w:vAlign w:val="bottom"/>
            <w:hideMark/>
          </w:tcPr>
          <w:p w14:paraId="1C0594AE" w14:textId="77777777" w:rsidR="00D464C3" w:rsidRPr="00935503" w:rsidRDefault="00D464C3" w:rsidP="00D12177">
            <w:pPr>
              <w:spacing w:after="0" w:line="240" w:lineRule="auto"/>
              <w:jc w:val="center"/>
              <w:rPr>
                <w:rFonts w:ascii="Times New Roman" w:eastAsia="Times New Roman" w:hAnsi="Times New Roman" w:cs="Times New Roman"/>
                <w:sz w:val="20"/>
                <w:szCs w:val="20"/>
              </w:rPr>
            </w:pPr>
          </w:p>
        </w:tc>
        <w:tc>
          <w:tcPr>
            <w:tcW w:w="2610" w:type="dxa"/>
            <w:gridSpan w:val="2"/>
            <w:tcBorders>
              <w:top w:val="nil"/>
              <w:left w:val="nil"/>
              <w:bottom w:val="nil"/>
              <w:right w:val="nil"/>
            </w:tcBorders>
            <w:noWrap/>
            <w:vAlign w:val="bottom"/>
            <w:hideMark/>
          </w:tcPr>
          <w:p w14:paraId="1D25896A" w14:textId="77777777" w:rsidR="00D464C3" w:rsidRPr="00935503" w:rsidRDefault="00D464C3" w:rsidP="00D12177">
            <w:pPr>
              <w:spacing w:after="0" w:line="240" w:lineRule="auto"/>
              <w:jc w:val="center"/>
              <w:rPr>
                <w:rFonts w:ascii="Times New Roman" w:eastAsia="Times New Roman" w:hAnsi="Times New Roman" w:cs="Times New Roman"/>
                <w:sz w:val="20"/>
                <w:szCs w:val="20"/>
              </w:rPr>
            </w:pPr>
          </w:p>
        </w:tc>
      </w:tr>
      <w:tr w:rsidR="00D464C3" w:rsidRPr="00935503" w14:paraId="263BD0CF" w14:textId="77777777" w:rsidTr="003C5229">
        <w:trPr>
          <w:gridAfter w:val="1"/>
          <w:wAfter w:w="22" w:type="dxa"/>
          <w:trHeight w:val="789"/>
        </w:trPr>
        <w:tc>
          <w:tcPr>
            <w:tcW w:w="2880" w:type="dxa"/>
            <w:tcBorders>
              <w:top w:val="single" w:sz="4" w:space="0" w:color="auto"/>
              <w:left w:val="single" w:sz="4" w:space="0" w:color="auto"/>
              <w:bottom w:val="single" w:sz="4" w:space="0" w:color="auto"/>
              <w:right w:val="single" w:sz="4" w:space="0" w:color="auto"/>
            </w:tcBorders>
            <w:vAlign w:val="bottom"/>
            <w:hideMark/>
          </w:tcPr>
          <w:p w14:paraId="065558ED" w14:textId="77777777" w:rsidR="00D464C3" w:rsidRPr="00A726B3" w:rsidRDefault="00D464C3" w:rsidP="00D12177">
            <w:pPr>
              <w:spacing w:after="0" w:line="240" w:lineRule="auto"/>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Urgent/Expedited</w:t>
            </w:r>
            <w:r w:rsidRPr="00A726B3">
              <w:rPr>
                <w:rFonts w:ascii="Times New Roman" w:eastAsia="Times New Roman" w:hAnsi="Times New Roman" w:cs="Times New Roman"/>
                <w:b/>
                <w:color w:val="000000"/>
              </w:rPr>
              <w:br/>
              <w:t>Prescription Drug</w:t>
            </w:r>
            <w:r>
              <w:rPr>
                <w:rFonts w:ascii="Times New Roman" w:eastAsia="Times New Roman" w:hAnsi="Times New Roman" w:cs="Times New Roman"/>
                <w:b/>
                <w:color w:val="000000"/>
              </w:rPr>
              <w:t xml:space="preserve"> Requests</w:t>
            </w:r>
          </w:p>
        </w:tc>
        <w:tc>
          <w:tcPr>
            <w:tcW w:w="1980" w:type="dxa"/>
            <w:tcBorders>
              <w:top w:val="single" w:sz="4" w:space="0" w:color="auto"/>
              <w:left w:val="nil"/>
              <w:bottom w:val="single" w:sz="4" w:space="0" w:color="auto"/>
              <w:right w:val="single" w:sz="4" w:space="0" w:color="auto"/>
            </w:tcBorders>
            <w:shd w:val="clear" w:color="auto" w:fill="8ED973"/>
            <w:vAlign w:val="bottom"/>
            <w:hideMark/>
          </w:tcPr>
          <w:p w14:paraId="13411D98" w14:textId="77777777" w:rsidR="00D464C3" w:rsidRPr="00A726B3" w:rsidRDefault="00D464C3" w:rsidP="00D12177">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 xml:space="preserve">Met </w:t>
            </w:r>
            <w:r w:rsidRPr="00A726B3">
              <w:rPr>
                <w:rFonts w:ascii="Times New Roman" w:eastAsia="Times New Roman" w:hAnsi="Times New Roman" w:cs="Times New Roman"/>
                <w:b/>
                <w:color w:val="000000"/>
              </w:rPr>
              <w:br/>
              <w:t>Requirements</w:t>
            </w:r>
          </w:p>
        </w:tc>
        <w:tc>
          <w:tcPr>
            <w:tcW w:w="1980" w:type="dxa"/>
            <w:tcBorders>
              <w:top w:val="single" w:sz="4" w:space="0" w:color="auto"/>
              <w:left w:val="nil"/>
              <w:bottom w:val="single" w:sz="4" w:space="0" w:color="auto"/>
              <w:right w:val="single" w:sz="4" w:space="0" w:color="auto"/>
            </w:tcBorders>
            <w:vAlign w:val="bottom"/>
            <w:hideMark/>
          </w:tcPr>
          <w:p w14:paraId="44190B1D"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Did Not Meet Requirements</w:t>
            </w:r>
          </w:p>
        </w:tc>
        <w:tc>
          <w:tcPr>
            <w:tcW w:w="2610" w:type="dxa"/>
            <w:gridSpan w:val="2"/>
            <w:tcBorders>
              <w:top w:val="single" w:sz="4" w:space="0" w:color="auto"/>
              <w:left w:val="single" w:sz="4" w:space="0" w:color="auto"/>
              <w:bottom w:val="single" w:sz="4" w:space="0" w:color="auto"/>
              <w:right w:val="single" w:sz="4" w:space="0" w:color="auto"/>
            </w:tcBorders>
            <w:vAlign w:val="bottom"/>
            <w:hideMark/>
          </w:tcPr>
          <w:p w14:paraId="0FCC2889" w14:textId="77777777" w:rsidR="00D464C3" w:rsidRPr="00A726B3" w:rsidRDefault="00D464C3" w:rsidP="00D12177">
            <w:pPr>
              <w:spacing w:after="0" w:line="240" w:lineRule="auto"/>
              <w:jc w:val="center"/>
              <w:rPr>
                <w:rFonts w:ascii="Times New Roman" w:eastAsia="Times New Roman" w:hAnsi="Times New Roman" w:cs="Times New Roman"/>
                <w:b/>
              </w:rPr>
            </w:pPr>
            <w:r w:rsidRPr="00A726B3">
              <w:rPr>
                <w:rFonts w:ascii="Times New Roman" w:eastAsia="Times New Roman" w:hAnsi="Times New Roman" w:cs="Times New Roman"/>
                <w:b/>
              </w:rPr>
              <w:t>Percent Meeting</w:t>
            </w:r>
            <w:r w:rsidRPr="00A726B3">
              <w:rPr>
                <w:rFonts w:ascii="Times New Roman" w:eastAsia="Times New Roman" w:hAnsi="Times New Roman" w:cs="Times New Roman"/>
                <w:b/>
              </w:rPr>
              <w:br/>
              <w:t xml:space="preserve"> Timeliness</w:t>
            </w:r>
          </w:p>
        </w:tc>
      </w:tr>
      <w:tr w:rsidR="00D464C3" w:rsidRPr="00935503" w14:paraId="0A314866"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5FC66226"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BCBSNM</w:t>
            </w:r>
          </w:p>
        </w:tc>
        <w:tc>
          <w:tcPr>
            <w:tcW w:w="1980" w:type="dxa"/>
            <w:tcBorders>
              <w:top w:val="nil"/>
              <w:left w:val="nil"/>
              <w:bottom w:val="single" w:sz="4" w:space="0" w:color="auto"/>
              <w:right w:val="single" w:sz="4" w:space="0" w:color="auto"/>
            </w:tcBorders>
            <w:noWrap/>
            <w:vAlign w:val="bottom"/>
            <w:hideMark/>
          </w:tcPr>
          <w:p w14:paraId="58B03A8C"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2,208</w:t>
            </w:r>
          </w:p>
        </w:tc>
        <w:tc>
          <w:tcPr>
            <w:tcW w:w="1980" w:type="dxa"/>
            <w:tcBorders>
              <w:top w:val="nil"/>
              <w:left w:val="nil"/>
              <w:bottom w:val="single" w:sz="4" w:space="0" w:color="auto"/>
              <w:right w:val="single" w:sz="4" w:space="0" w:color="auto"/>
            </w:tcBorders>
            <w:noWrap/>
            <w:vAlign w:val="bottom"/>
            <w:hideMark/>
          </w:tcPr>
          <w:p w14:paraId="7BC2F88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108</w:t>
            </w:r>
          </w:p>
        </w:tc>
        <w:tc>
          <w:tcPr>
            <w:tcW w:w="2610" w:type="dxa"/>
            <w:gridSpan w:val="2"/>
            <w:tcBorders>
              <w:top w:val="nil"/>
              <w:left w:val="single" w:sz="4" w:space="0" w:color="auto"/>
              <w:bottom w:val="single" w:sz="4" w:space="0" w:color="auto"/>
              <w:right w:val="single" w:sz="4" w:space="0" w:color="auto"/>
            </w:tcBorders>
            <w:noWrap/>
            <w:vAlign w:val="bottom"/>
            <w:hideMark/>
          </w:tcPr>
          <w:p w14:paraId="01C553EC"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95.3%</w:t>
            </w:r>
          </w:p>
        </w:tc>
      </w:tr>
      <w:tr w:rsidR="00D464C3" w:rsidRPr="00935503" w14:paraId="25131C51"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1FB3255C"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Cigna</w:t>
            </w:r>
          </w:p>
        </w:tc>
        <w:tc>
          <w:tcPr>
            <w:tcW w:w="1980" w:type="dxa"/>
            <w:tcBorders>
              <w:top w:val="nil"/>
              <w:left w:val="nil"/>
              <w:bottom w:val="single" w:sz="4" w:space="0" w:color="auto"/>
              <w:right w:val="single" w:sz="4" w:space="0" w:color="auto"/>
            </w:tcBorders>
            <w:noWrap/>
            <w:vAlign w:val="bottom"/>
            <w:hideMark/>
          </w:tcPr>
          <w:p w14:paraId="36ACFCA6"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106</w:t>
            </w:r>
          </w:p>
        </w:tc>
        <w:tc>
          <w:tcPr>
            <w:tcW w:w="1980" w:type="dxa"/>
            <w:tcBorders>
              <w:top w:val="nil"/>
              <w:left w:val="nil"/>
              <w:bottom w:val="single" w:sz="4" w:space="0" w:color="auto"/>
              <w:right w:val="single" w:sz="4" w:space="0" w:color="auto"/>
            </w:tcBorders>
            <w:noWrap/>
            <w:vAlign w:val="bottom"/>
            <w:hideMark/>
          </w:tcPr>
          <w:p w14:paraId="25654CC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61</w:t>
            </w:r>
          </w:p>
        </w:tc>
        <w:tc>
          <w:tcPr>
            <w:tcW w:w="2610" w:type="dxa"/>
            <w:gridSpan w:val="2"/>
            <w:tcBorders>
              <w:top w:val="nil"/>
              <w:left w:val="single" w:sz="4" w:space="0" w:color="auto"/>
              <w:bottom w:val="single" w:sz="4" w:space="0" w:color="auto"/>
              <w:right w:val="single" w:sz="4" w:space="0" w:color="auto"/>
            </w:tcBorders>
            <w:noWrap/>
            <w:vAlign w:val="bottom"/>
            <w:hideMark/>
          </w:tcPr>
          <w:p w14:paraId="3A3F2FA2"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63.5%</w:t>
            </w:r>
          </w:p>
        </w:tc>
      </w:tr>
      <w:tr w:rsidR="00D464C3" w:rsidRPr="00935503" w14:paraId="20C54123"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69320752"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Molina</w:t>
            </w:r>
          </w:p>
        </w:tc>
        <w:tc>
          <w:tcPr>
            <w:tcW w:w="1980" w:type="dxa"/>
            <w:tcBorders>
              <w:top w:val="nil"/>
              <w:left w:val="nil"/>
              <w:bottom w:val="single" w:sz="4" w:space="0" w:color="auto"/>
              <w:right w:val="single" w:sz="4" w:space="0" w:color="auto"/>
            </w:tcBorders>
            <w:noWrap/>
            <w:vAlign w:val="bottom"/>
            <w:hideMark/>
          </w:tcPr>
          <w:p w14:paraId="3F4FC1F6"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359</w:t>
            </w:r>
          </w:p>
        </w:tc>
        <w:tc>
          <w:tcPr>
            <w:tcW w:w="1980" w:type="dxa"/>
            <w:tcBorders>
              <w:top w:val="nil"/>
              <w:left w:val="nil"/>
              <w:bottom w:val="single" w:sz="4" w:space="0" w:color="auto"/>
              <w:right w:val="single" w:sz="4" w:space="0" w:color="auto"/>
            </w:tcBorders>
            <w:noWrap/>
            <w:vAlign w:val="bottom"/>
            <w:hideMark/>
          </w:tcPr>
          <w:p w14:paraId="71D0C6C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610" w:type="dxa"/>
            <w:gridSpan w:val="2"/>
            <w:tcBorders>
              <w:top w:val="nil"/>
              <w:left w:val="single" w:sz="4" w:space="0" w:color="auto"/>
              <w:bottom w:val="single" w:sz="4" w:space="0" w:color="auto"/>
              <w:right w:val="single" w:sz="4" w:space="0" w:color="auto"/>
            </w:tcBorders>
            <w:noWrap/>
            <w:vAlign w:val="bottom"/>
            <w:hideMark/>
          </w:tcPr>
          <w:p w14:paraId="71673E13"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935503" w14:paraId="0C2201AB"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4A609449"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PHP</w:t>
            </w:r>
          </w:p>
        </w:tc>
        <w:tc>
          <w:tcPr>
            <w:tcW w:w="1980" w:type="dxa"/>
            <w:tcBorders>
              <w:top w:val="nil"/>
              <w:left w:val="nil"/>
              <w:bottom w:val="single" w:sz="4" w:space="0" w:color="auto"/>
              <w:right w:val="single" w:sz="4" w:space="0" w:color="auto"/>
            </w:tcBorders>
            <w:noWrap/>
            <w:vAlign w:val="bottom"/>
            <w:hideMark/>
          </w:tcPr>
          <w:p w14:paraId="762593AD" w14:textId="5E0E1FA0"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w:t>
            </w:r>
            <w:r w:rsidR="00D12177">
              <w:rPr>
                <w:rFonts w:ascii="Times New Roman" w:eastAsia="Times New Roman" w:hAnsi="Times New Roman" w:cs="Times New Roman"/>
                <w:color w:val="000000"/>
                <w:sz w:val="20"/>
                <w:szCs w:val="20"/>
              </w:rPr>
              <w:t>339</w:t>
            </w:r>
          </w:p>
        </w:tc>
        <w:tc>
          <w:tcPr>
            <w:tcW w:w="1980" w:type="dxa"/>
            <w:tcBorders>
              <w:top w:val="nil"/>
              <w:left w:val="nil"/>
              <w:bottom w:val="single" w:sz="4" w:space="0" w:color="auto"/>
              <w:right w:val="single" w:sz="4" w:space="0" w:color="auto"/>
            </w:tcBorders>
            <w:noWrap/>
            <w:vAlign w:val="bottom"/>
            <w:hideMark/>
          </w:tcPr>
          <w:p w14:paraId="1A9F47EA" w14:textId="5A0B234B"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610" w:type="dxa"/>
            <w:gridSpan w:val="2"/>
            <w:tcBorders>
              <w:top w:val="nil"/>
              <w:left w:val="single" w:sz="4" w:space="0" w:color="auto"/>
              <w:bottom w:val="single" w:sz="4" w:space="0" w:color="auto"/>
              <w:right w:val="single" w:sz="4" w:space="0" w:color="auto"/>
            </w:tcBorders>
            <w:noWrap/>
            <w:vAlign w:val="bottom"/>
            <w:hideMark/>
          </w:tcPr>
          <w:p w14:paraId="6B969D6B" w14:textId="78368A8E" w:rsidR="00D464C3" w:rsidRPr="00A726B3" w:rsidRDefault="00D12177"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99.9</w:t>
            </w:r>
            <w:r w:rsidR="00D464C3" w:rsidRPr="00A726B3">
              <w:rPr>
                <w:rFonts w:ascii="Times New Roman" w:eastAsia="Times New Roman" w:hAnsi="Times New Roman" w:cs="Times New Roman"/>
                <w:color w:val="000000"/>
                <w:sz w:val="20"/>
                <w:szCs w:val="20"/>
              </w:rPr>
              <w:t>%</w:t>
            </w:r>
          </w:p>
        </w:tc>
      </w:tr>
      <w:tr w:rsidR="00D464C3" w:rsidRPr="00935503" w14:paraId="4A9B6815"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0FA6B0E6"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PIC</w:t>
            </w:r>
          </w:p>
        </w:tc>
        <w:tc>
          <w:tcPr>
            <w:tcW w:w="1980" w:type="dxa"/>
            <w:tcBorders>
              <w:top w:val="nil"/>
              <w:left w:val="nil"/>
              <w:bottom w:val="single" w:sz="4" w:space="0" w:color="auto"/>
              <w:right w:val="single" w:sz="4" w:space="0" w:color="auto"/>
            </w:tcBorders>
            <w:noWrap/>
            <w:vAlign w:val="bottom"/>
            <w:hideMark/>
          </w:tcPr>
          <w:p w14:paraId="08DD2EB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323</w:t>
            </w:r>
          </w:p>
        </w:tc>
        <w:tc>
          <w:tcPr>
            <w:tcW w:w="1980" w:type="dxa"/>
            <w:tcBorders>
              <w:top w:val="nil"/>
              <w:left w:val="nil"/>
              <w:bottom w:val="single" w:sz="4" w:space="0" w:color="auto"/>
              <w:right w:val="single" w:sz="4" w:space="0" w:color="auto"/>
            </w:tcBorders>
            <w:noWrap/>
            <w:vAlign w:val="bottom"/>
            <w:hideMark/>
          </w:tcPr>
          <w:p w14:paraId="2856D191"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610" w:type="dxa"/>
            <w:gridSpan w:val="2"/>
            <w:tcBorders>
              <w:top w:val="nil"/>
              <w:left w:val="single" w:sz="4" w:space="0" w:color="auto"/>
              <w:bottom w:val="single" w:sz="4" w:space="0" w:color="auto"/>
              <w:right w:val="single" w:sz="4" w:space="0" w:color="auto"/>
            </w:tcBorders>
            <w:noWrap/>
            <w:vAlign w:val="bottom"/>
            <w:hideMark/>
          </w:tcPr>
          <w:p w14:paraId="25B2776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100.0%</w:t>
            </w:r>
          </w:p>
        </w:tc>
      </w:tr>
      <w:tr w:rsidR="00D464C3" w:rsidRPr="00935503" w14:paraId="751F9948"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46F4DA46"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UHCNM</w:t>
            </w:r>
          </w:p>
        </w:tc>
        <w:tc>
          <w:tcPr>
            <w:tcW w:w="1980" w:type="dxa"/>
            <w:tcBorders>
              <w:top w:val="nil"/>
              <w:left w:val="nil"/>
              <w:bottom w:val="single" w:sz="4" w:space="0" w:color="auto"/>
              <w:right w:val="single" w:sz="4" w:space="0" w:color="auto"/>
            </w:tcBorders>
            <w:noWrap/>
            <w:vAlign w:val="bottom"/>
            <w:hideMark/>
          </w:tcPr>
          <w:p w14:paraId="3A6697C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58</w:t>
            </w:r>
          </w:p>
        </w:tc>
        <w:tc>
          <w:tcPr>
            <w:tcW w:w="1980" w:type="dxa"/>
            <w:tcBorders>
              <w:top w:val="nil"/>
              <w:left w:val="nil"/>
              <w:bottom w:val="single" w:sz="4" w:space="0" w:color="auto"/>
              <w:right w:val="single" w:sz="4" w:space="0" w:color="auto"/>
            </w:tcBorders>
            <w:noWrap/>
            <w:vAlign w:val="bottom"/>
            <w:hideMark/>
          </w:tcPr>
          <w:p w14:paraId="0CDA94A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w:t>
            </w:r>
          </w:p>
        </w:tc>
        <w:tc>
          <w:tcPr>
            <w:tcW w:w="2610" w:type="dxa"/>
            <w:gridSpan w:val="2"/>
            <w:tcBorders>
              <w:top w:val="nil"/>
              <w:left w:val="single" w:sz="4" w:space="0" w:color="auto"/>
              <w:bottom w:val="single" w:sz="4" w:space="0" w:color="auto"/>
              <w:right w:val="single" w:sz="4" w:space="0" w:color="auto"/>
            </w:tcBorders>
            <w:noWrap/>
            <w:vAlign w:val="bottom"/>
            <w:hideMark/>
          </w:tcPr>
          <w:p w14:paraId="388583D7"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98.3%</w:t>
            </w:r>
          </w:p>
        </w:tc>
      </w:tr>
      <w:tr w:rsidR="00D464C3" w:rsidRPr="00935503" w14:paraId="3A08C5CD"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5848589D"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UHIC</w:t>
            </w:r>
          </w:p>
        </w:tc>
        <w:tc>
          <w:tcPr>
            <w:tcW w:w="1980" w:type="dxa"/>
            <w:tcBorders>
              <w:top w:val="nil"/>
              <w:left w:val="nil"/>
              <w:bottom w:val="single" w:sz="4" w:space="0" w:color="auto"/>
              <w:right w:val="single" w:sz="4" w:space="0" w:color="auto"/>
            </w:tcBorders>
            <w:noWrap/>
            <w:vAlign w:val="bottom"/>
            <w:hideMark/>
          </w:tcPr>
          <w:p w14:paraId="6A7C69CE"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570</w:t>
            </w:r>
          </w:p>
        </w:tc>
        <w:tc>
          <w:tcPr>
            <w:tcW w:w="1980" w:type="dxa"/>
            <w:tcBorders>
              <w:top w:val="nil"/>
              <w:left w:val="nil"/>
              <w:bottom w:val="single" w:sz="4" w:space="0" w:color="auto"/>
              <w:right w:val="single" w:sz="4" w:space="0" w:color="auto"/>
            </w:tcBorders>
            <w:noWrap/>
            <w:vAlign w:val="bottom"/>
            <w:hideMark/>
          </w:tcPr>
          <w:p w14:paraId="41F3FDD2"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21</w:t>
            </w:r>
          </w:p>
        </w:tc>
        <w:tc>
          <w:tcPr>
            <w:tcW w:w="2610" w:type="dxa"/>
            <w:gridSpan w:val="2"/>
            <w:tcBorders>
              <w:top w:val="nil"/>
              <w:left w:val="single" w:sz="4" w:space="0" w:color="auto"/>
              <w:bottom w:val="single" w:sz="4" w:space="0" w:color="auto"/>
              <w:right w:val="single" w:sz="4" w:space="0" w:color="auto"/>
            </w:tcBorders>
            <w:noWrap/>
            <w:vAlign w:val="bottom"/>
            <w:hideMark/>
          </w:tcPr>
          <w:p w14:paraId="485D300A"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96.4%</w:t>
            </w:r>
          </w:p>
        </w:tc>
      </w:tr>
      <w:tr w:rsidR="00D464C3" w:rsidRPr="00935503" w14:paraId="5921678E" w14:textId="77777777" w:rsidTr="003C5229">
        <w:trPr>
          <w:gridAfter w:val="1"/>
          <w:wAfter w:w="22" w:type="dxa"/>
          <w:trHeight w:val="262"/>
        </w:trPr>
        <w:tc>
          <w:tcPr>
            <w:tcW w:w="2880" w:type="dxa"/>
            <w:tcBorders>
              <w:top w:val="nil"/>
              <w:left w:val="single" w:sz="4" w:space="0" w:color="auto"/>
              <w:bottom w:val="single" w:sz="4" w:space="0" w:color="auto"/>
              <w:right w:val="single" w:sz="4" w:space="0" w:color="auto"/>
            </w:tcBorders>
            <w:noWrap/>
            <w:vAlign w:val="bottom"/>
            <w:hideMark/>
          </w:tcPr>
          <w:p w14:paraId="7D991EF6" w14:textId="77777777" w:rsidR="00D464C3" w:rsidRPr="00A726B3" w:rsidRDefault="00D464C3"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WSCC</w:t>
            </w:r>
          </w:p>
        </w:tc>
        <w:tc>
          <w:tcPr>
            <w:tcW w:w="1980" w:type="dxa"/>
            <w:tcBorders>
              <w:top w:val="nil"/>
              <w:left w:val="nil"/>
              <w:bottom w:val="single" w:sz="4" w:space="0" w:color="auto"/>
              <w:right w:val="single" w:sz="4" w:space="0" w:color="auto"/>
            </w:tcBorders>
            <w:noWrap/>
            <w:vAlign w:val="bottom"/>
            <w:hideMark/>
          </w:tcPr>
          <w:p w14:paraId="7645CD3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330</w:t>
            </w:r>
          </w:p>
        </w:tc>
        <w:tc>
          <w:tcPr>
            <w:tcW w:w="1980" w:type="dxa"/>
            <w:tcBorders>
              <w:top w:val="nil"/>
              <w:left w:val="nil"/>
              <w:bottom w:val="single" w:sz="4" w:space="0" w:color="auto"/>
              <w:right w:val="single" w:sz="4" w:space="0" w:color="auto"/>
            </w:tcBorders>
            <w:noWrap/>
            <w:vAlign w:val="bottom"/>
            <w:hideMark/>
          </w:tcPr>
          <w:p w14:paraId="6EDF5906"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w:t>
            </w:r>
          </w:p>
        </w:tc>
        <w:tc>
          <w:tcPr>
            <w:tcW w:w="2610" w:type="dxa"/>
            <w:gridSpan w:val="2"/>
            <w:tcBorders>
              <w:top w:val="nil"/>
              <w:left w:val="single" w:sz="4" w:space="0" w:color="auto"/>
              <w:bottom w:val="single" w:sz="4" w:space="0" w:color="auto"/>
              <w:right w:val="single" w:sz="4" w:space="0" w:color="auto"/>
            </w:tcBorders>
            <w:noWrap/>
            <w:vAlign w:val="bottom"/>
            <w:hideMark/>
          </w:tcPr>
          <w:p w14:paraId="0967407B" w14:textId="77777777" w:rsidR="00D464C3" w:rsidRPr="00A726B3" w:rsidRDefault="00D464C3"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99.7%</w:t>
            </w:r>
          </w:p>
        </w:tc>
      </w:tr>
    </w:tbl>
    <w:p w14:paraId="1AADD858" w14:textId="77777777" w:rsidR="007D0459" w:rsidRPr="007D0459" w:rsidRDefault="007D0459" w:rsidP="007D0459">
      <w:pPr>
        <w:rPr>
          <w:rFonts w:ascii="Times New Roman" w:hAnsi="Times New Roman" w:cs="Times New Roman"/>
        </w:rPr>
      </w:pPr>
    </w:p>
    <w:p w14:paraId="2384A498" w14:textId="77777777" w:rsidR="00D464C3" w:rsidRPr="00D464C3" w:rsidRDefault="00D464C3" w:rsidP="00D464C3">
      <w:pPr>
        <w:keepNext/>
        <w:keepLines/>
        <w:spacing w:before="360" w:after="80" w:line="259" w:lineRule="auto"/>
        <w:outlineLvl w:val="0"/>
        <w:rPr>
          <w:rFonts w:ascii="Times New Roman" w:eastAsia="Yu Gothic Light" w:hAnsi="Times New Roman" w:cs="Times New Roman"/>
          <w:b/>
          <w:bCs/>
          <w:color w:val="002060"/>
          <w:kern w:val="2"/>
          <w:sz w:val="28"/>
          <w:szCs w:val="28"/>
          <w14:ligatures w14:val="standardContextual"/>
        </w:rPr>
      </w:pPr>
      <w:bookmarkStart w:id="16" w:name="_Toc209356547"/>
      <w:r w:rsidRPr="00D464C3">
        <w:rPr>
          <w:rFonts w:ascii="Times New Roman" w:eastAsia="Yu Gothic Light" w:hAnsi="Times New Roman" w:cs="Times New Roman"/>
          <w:b/>
          <w:bCs/>
          <w:color w:val="002060"/>
          <w:kern w:val="2"/>
          <w:sz w:val="28"/>
          <w:szCs w:val="28"/>
          <w14:ligatures w14:val="standardContextual"/>
        </w:rPr>
        <w:t>Pharmacy Specific Authorization Statistics</w:t>
      </w:r>
      <w:bookmarkEnd w:id="16"/>
    </w:p>
    <w:p w14:paraId="3F2DE194"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 2023, health insurers received requests for step therapy and formulary exceptions.</w:t>
      </w:r>
    </w:p>
    <w:p w14:paraId="5E33CBF2"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New Mexico state law outlines the responsibilities of health plans regarding step therapy and formulary exceptions due to additional requirements for certain prescription drugs.</w:t>
      </w:r>
    </w:p>
    <w:p w14:paraId="0423F34F"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If your health plan requires you to try lower-cost medications before approving a more expensive one (called step therapy), you have the right to ask for an exception. This means your doctor can request that you skip the usual steps if the medication is medically necessary for your condition.</w:t>
      </w:r>
    </w:p>
    <w:p w14:paraId="7239E2DB" w14:textId="77777777" w:rsidR="007D0459" w:rsidRPr="007D0459" w:rsidRDefault="007D0459" w:rsidP="007D0459">
      <w:pPr>
        <w:rPr>
          <w:rFonts w:ascii="Times New Roman" w:hAnsi="Times New Roman" w:cs="Times New Roman"/>
          <w:i/>
        </w:rPr>
      </w:pPr>
      <w:r w:rsidRPr="007D0459">
        <w:rPr>
          <w:rFonts w:ascii="Times New Roman" w:hAnsi="Times New Roman" w:cs="Times New Roman"/>
          <w:i/>
        </w:rPr>
        <w:t>A provider can request a step therapy exception if:</w:t>
      </w:r>
    </w:p>
    <w:p w14:paraId="31C0DE80" w14:textId="77777777" w:rsidR="007D0459" w:rsidRPr="007D0459" w:rsidRDefault="007D0459" w:rsidP="007D0459">
      <w:pPr>
        <w:numPr>
          <w:ilvl w:val="0"/>
          <w:numId w:val="23"/>
        </w:numPr>
        <w:rPr>
          <w:rFonts w:ascii="Times New Roman" w:hAnsi="Times New Roman" w:cs="Times New Roman"/>
        </w:rPr>
      </w:pPr>
      <w:r w:rsidRPr="007D0459">
        <w:rPr>
          <w:rFonts w:ascii="Times New Roman" w:hAnsi="Times New Roman" w:cs="Times New Roman"/>
        </w:rPr>
        <w:t>Clinical history indicates that the drug is likely to be ineffective</w:t>
      </w:r>
    </w:p>
    <w:p w14:paraId="4F24A08D" w14:textId="77777777" w:rsidR="007D0459" w:rsidRPr="007D0459" w:rsidRDefault="007D0459" w:rsidP="007D0459">
      <w:pPr>
        <w:numPr>
          <w:ilvl w:val="0"/>
          <w:numId w:val="23"/>
        </w:numPr>
        <w:rPr>
          <w:rFonts w:ascii="Times New Roman" w:hAnsi="Times New Roman" w:cs="Times New Roman"/>
        </w:rPr>
      </w:pPr>
      <w:r w:rsidRPr="007D0459">
        <w:rPr>
          <w:rFonts w:ascii="Times New Roman" w:hAnsi="Times New Roman" w:cs="Times New Roman"/>
        </w:rPr>
        <w:t>The patient has already tried the drug, and it either did not work or had adverse effects</w:t>
      </w:r>
    </w:p>
    <w:p w14:paraId="4B302913" w14:textId="77777777" w:rsidR="007D0459" w:rsidRPr="007D0459" w:rsidRDefault="007D0459" w:rsidP="007D0459">
      <w:pPr>
        <w:numPr>
          <w:ilvl w:val="0"/>
          <w:numId w:val="23"/>
        </w:numPr>
        <w:rPr>
          <w:rFonts w:ascii="Times New Roman" w:hAnsi="Times New Roman" w:cs="Times New Roman"/>
        </w:rPr>
      </w:pPr>
      <w:r w:rsidRPr="007D0459">
        <w:rPr>
          <w:rFonts w:ascii="Times New Roman" w:hAnsi="Times New Roman" w:cs="Times New Roman"/>
        </w:rPr>
        <w:t>The drug could interfere with another treatment</w:t>
      </w:r>
    </w:p>
    <w:p w14:paraId="11A48E4E" w14:textId="77777777" w:rsidR="007D0459" w:rsidRPr="007D0459" w:rsidRDefault="007D0459" w:rsidP="007D0459">
      <w:pPr>
        <w:numPr>
          <w:ilvl w:val="0"/>
          <w:numId w:val="23"/>
        </w:numPr>
        <w:rPr>
          <w:rFonts w:ascii="Times New Roman" w:hAnsi="Times New Roman" w:cs="Times New Roman"/>
        </w:rPr>
      </w:pPr>
      <w:r w:rsidRPr="007D0459">
        <w:rPr>
          <w:rFonts w:ascii="Times New Roman" w:hAnsi="Times New Roman" w:cs="Times New Roman"/>
        </w:rPr>
        <w:t>Switching to the drug could cause harm, lack of compliance, or other health issues</w:t>
      </w:r>
    </w:p>
    <w:p w14:paraId="70F3F5FD"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lastRenderedPageBreak/>
        <w:t xml:space="preserve">If a prescription drug is denied because it is not included in the health insurer’s formulary (approved drug list), insurers must notify the patient and provide information on how to request an exception.  If the prescription is denied automatically, the insurer is required to provide a list of alternative drugs. </w:t>
      </w:r>
    </w:p>
    <w:p w14:paraId="5A30D8D4"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Health insurers in New Mexico must provide a straightforward and accessible process for medical professionals to submit exception requests when necessary.  This process should be available online to ensure easy access.</w:t>
      </w:r>
    </w:p>
    <w:p w14:paraId="245A8232" w14:textId="62D3325E" w:rsidR="007D0459" w:rsidRDefault="007D0459" w:rsidP="007D0459">
      <w:pPr>
        <w:rPr>
          <w:rFonts w:ascii="Times New Roman" w:hAnsi="Times New Roman" w:cs="Times New Roman"/>
        </w:rPr>
      </w:pPr>
      <w:r w:rsidRPr="007D0459">
        <w:rPr>
          <w:rFonts w:ascii="Times New Roman" w:hAnsi="Times New Roman" w:cs="Times New Roman"/>
        </w:rPr>
        <w:t>For both types of exception requests, the provider completes a form provided by the health insurer and includes supporting documentation such as clinical rationales and relevant medical history.  If a request is denied, the member can appeal the decision.</w:t>
      </w:r>
    </w:p>
    <w:p w14:paraId="460F26A0" w14:textId="77777777" w:rsidR="006A0C45" w:rsidRPr="007D0459" w:rsidRDefault="006A0C45" w:rsidP="007D0459">
      <w:pPr>
        <w:rPr>
          <w:rFonts w:ascii="Times New Roman" w:hAnsi="Times New Roman" w:cs="Times New Roman"/>
        </w:rPr>
      </w:pPr>
    </w:p>
    <w:p w14:paraId="69C6D17B" w14:textId="77777777" w:rsidR="006A0C45" w:rsidRPr="006A0C45" w:rsidRDefault="006A0C45" w:rsidP="006A0C45">
      <w:pPr>
        <w:keepNext/>
        <w:keepLines/>
        <w:spacing w:before="160" w:after="80" w:line="259" w:lineRule="auto"/>
        <w:outlineLvl w:val="1"/>
        <w:rPr>
          <w:rFonts w:ascii="Times New Roman" w:eastAsia="Yu Gothic Light" w:hAnsi="Times New Roman" w:cs="Times New Roman"/>
          <w:b/>
          <w:bCs/>
          <w:color w:val="002060"/>
          <w:kern w:val="2"/>
          <w:sz w:val="28"/>
          <w:szCs w:val="28"/>
          <w14:ligatures w14:val="standardContextual"/>
        </w:rPr>
      </w:pPr>
      <w:bookmarkStart w:id="17" w:name="_Toc209356548"/>
      <w:r w:rsidRPr="006A0C45">
        <w:rPr>
          <w:rFonts w:ascii="Times New Roman" w:eastAsia="Yu Gothic Light" w:hAnsi="Times New Roman" w:cs="Times New Roman"/>
          <w:b/>
          <w:bCs/>
          <w:color w:val="002060"/>
          <w:kern w:val="2"/>
          <w:sz w:val="28"/>
          <w:szCs w:val="28"/>
          <w14:ligatures w14:val="standardContextual"/>
        </w:rPr>
        <w:t>Step Therapy and Formulary Exception Request by Type of Request for Calendar Year 2023</w:t>
      </w:r>
      <w:bookmarkEnd w:id="17"/>
    </w:p>
    <w:p w14:paraId="4CFBF68A"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Insurers reported the number of each type of pharmacy exception request (Table 4).</w:t>
      </w:r>
    </w:p>
    <w:p w14:paraId="792DFD0C" w14:textId="77777777" w:rsidR="007D0459" w:rsidRPr="007D0459" w:rsidRDefault="007D0459" w:rsidP="007D0459">
      <w:pPr>
        <w:rPr>
          <w:rFonts w:ascii="Times New Roman" w:hAnsi="Times New Roman" w:cs="Times New Roman"/>
        </w:rPr>
      </w:pPr>
      <w:r w:rsidRPr="007D0459">
        <w:rPr>
          <w:rFonts w:ascii="Times New Roman" w:hAnsi="Times New Roman" w:cs="Times New Roman"/>
          <w:b/>
          <w:i/>
        </w:rPr>
        <w:t xml:space="preserve">Table 4: Number of </w:t>
      </w:r>
      <w:r w:rsidRPr="007D0459">
        <w:rPr>
          <w:rFonts w:ascii="Times New Roman" w:hAnsi="Times New Roman" w:cs="Times New Roman"/>
          <w:b/>
          <w:bCs/>
          <w:i/>
          <w:iCs/>
        </w:rPr>
        <w:t>Pharmacy Drugs</w:t>
      </w:r>
      <w:r w:rsidRPr="007D0459">
        <w:rPr>
          <w:rFonts w:ascii="Times New Roman" w:hAnsi="Times New Roman" w:cs="Times New Roman"/>
          <w:b/>
          <w:i/>
        </w:rPr>
        <w:t xml:space="preserve"> Exceptions by Exception Type</w:t>
      </w:r>
    </w:p>
    <w:tbl>
      <w:tblPr>
        <w:tblW w:w="9540" w:type="dxa"/>
        <w:tblLook w:val="04A0" w:firstRow="1" w:lastRow="0" w:firstColumn="1" w:lastColumn="0" w:noHBand="0" w:noVBand="1"/>
      </w:tblPr>
      <w:tblGrid>
        <w:gridCol w:w="1312"/>
        <w:gridCol w:w="1842"/>
        <w:gridCol w:w="1941"/>
        <w:gridCol w:w="1722"/>
        <w:gridCol w:w="2723"/>
      </w:tblGrid>
      <w:tr w:rsidR="006A0C45" w:rsidRPr="00CB4BFC" w14:paraId="2A064A0A" w14:textId="77777777" w:rsidTr="003C5229">
        <w:trPr>
          <w:trHeight w:val="308"/>
        </w:trPr>
        <w:tc>
          <w:tcPr>
            <w:tcW w:w="1312" w:type="dxa"/>
            <w:tcBorders>
              <w:top w:val="nil"/>
              <w:left w:val="nil"/>
              <w:bottom w:val="nil"/>
              <w:right w:val="nil"/>
            </w:tcBorders>
            <w:noWrap/>
            <w:vAlign w:val="bottom"/>
            <w:hideMark/>
          </w:tcPr>
          <w:p w14:paraId="0A3B7CA2" w14:textId="77777777" w:rsidR="006A0C45" w:rsidRPr="00CB4BFC" w:rsidRDefault="006A0C45" w:rsidP="00D12177">
            <w:pPr>
              <w:spacing w:after="0" w:line="240" w:lineRule="auto"/>
              <w:rPr>
                <w:rFonts w:ascii="Times New Roman" w:eastAsia="Times New Roman" w:hAnsi="Times New Roman" w:cs="Times New Roman"/>
              </w:rPr>
            </w:pPr>
            <w:bookmarkStart w:id="18" w:name="_Hlk209446149"/>
          </w:p>
        </w:tc>
        <w:tc>
          <w:tcPr>
            <w:tcW w:w="3783" w:type="dxa"/>
            <w:gridSpan w:val="2"/>
            <w:tcBorders>
              <w:top w:val="single" w:sz="4" w:space="0" w:color="auto"/>
              <w:left w:val="single" w:sz="4" w:space="0" w:color="auto"/>
              <w:bottom w:val="nil"/>
              <w:right w:val="single" w:sz="4" w:space="0" w:color="000000"/>
            </w:tcBorders>
            <w:noWrap/>
            <w:vAlign w:val="center"/>
            <w:hideMark/>
          </w:tcPr>
          <w:p w14:paraId="2728F7CB" w14:textId="77777777" w:rsidR="006A0C45" w:rsidRPr="00A726B3" w:rsidRDefault="006A0C45" w:rsidP="00187DE3">
            <w:pPr>
              <w:spacing w:after="0" w:line="240" w:lineRule="auto"/>
              <w:jc w:val="center"/>
              <w:rPr>
                <w:rFonts w:ascii="Times New Roman" w:eastAsia="Times New Roman" w:hAnsi="Times New Roman" w:cs="Times New Roman"/>
                <w:b/>
                <w:color w:val="074F69"/>
              </w:rPr>
            </w:pPr>
            <w:r w:rsidRPr="00A726B3">
              <w:rPr>
                <w:rFonts w:ascii="Times New Roman" w:eastAsia="Times New Roman" w:hAnsi="Times New Roman" w:cs="Times New Roman"/>
                <w:b/>
                <w:color w:val="074F69"/>
              </w:rPr>
              <w:t>Physical Health</w:t>
            </w:r>
          </w:p>
        </w:tc>
        <w:tc>
          <w:tcPr>
            <w:tcW w:w="4445" w:type="dxa"/>
            <w:gridSpan w:val="2"/>
            <w:tcBorders>
              <w:top w:val="single" w:sz="4" w:space="0" w:color="auto"/>
              <w:left w:val="nil"/>
              <w:bottom w:val="nil"/>
              <w:right w:val="single" w:sz="4" w:space="0" w:color="000000"/>
            </w:tcBorders>
            <w:noWrap/>
            <w:vAlign w:val="bottom"/>
            <w:hideMark/>
          </w:tcPr>
          <w:p w14:paraId="69B6EF46" w14:textId="77777777" w:rsidR="006A0C45" w:rsidRPr="00A726B3" w:rsidRDefault="006A0C45" w:rsidP="00D12177">
            <w:pPr>
              <w:spacing w:after="0" w:line="240" w:lineRule="auto"/>
              <w:jc w:val="center"/>
              <w:rPr>
                <w:rFonts w:ascii="Times New Roman" w:eastAsia="Times New Roman" w:hAnsi="Times New Roman" w:cs="Times New Roman"/>
                <w:b/>
                <w:color w:val="E97132"/>
              </w:rPr>
            </w:pPr>
            <w:r w:rsidRPr="00A726B3">
              <w:rPr>
                <w:rFonts w:ascii="Times New Roman" w:eastAsia="Times New Roman" w:hAnsi="Times New Roman" w:cs="Times New Roman"/>
                <w:b/>
                <w:color w:val="E97132"/>
              </w:rPr>
              <w:t xml:space="preserve">Mental Health/Substance Use Disorder Treatment </w:t>
            </w:r>
          </w:p>
        </w:tc>
      </w:tr>
      <w:tr w:rsidR="006A0C45" w:rsidRPr="00CB4BFC" w14:paraId="14FC917B" w14:textId="77777777" w:rsidTr="003C5229">
        <w:trPr>
          <w:trHeight w:val="832"/>
        </w:trPr>
        <w:tc>
          <w:tcPr>
            <w:tcW w:w="1312" w:type="dxa"/>
            <w:tcBorders>
              <w:top w:val="nil"/>
              <w:left w:val="nil"/>
              <w:bottom w:val="nil"/>
              <w:right w:val="nil"/>
            </w:tcBorders>
            <w:noWrap/>
            <w:vAlign w:val="bottom"/>
            <w:hideMark/>
          </w:tcPr>
          <w:p w14:paraId="4E5333E7" w14:textId="77777777" w:rsidR="006A0C45" w:rsidRPr="00A726B3" w:rsidRDefault="006A0C45" w:rsidP="00D12177">
            <w:pPr>
              <w:spacing w:after="0" w:line="240" w:lineRule="auto"/>
              <w:jc w:val="center"/>
              <w:rPr>
                <w:rFonts w:ascii="Times New Roman" w:eastAsia="Times New Roman" w:hAnsi="Times New Roman" w:cs="Times New Roman"/>
                <w:b/>
                <w:color w:val="E97132"/>
              </w:rPr>
            </w:pPr>
          </w:p>
        </w:tc>
        <w:tc>
          <w:tcPr>
            <w:tcW w:w="1842" w:type="dxa"/>
            <w:tcBorders>
              <w:top w:val="single" w:sz="4" w:space="0" w:color="auto"/>
              <w:left w:val="single" w:sz="4" w:space="0" w:color="auto"/>
              <w:bottom w:val="nil"/>
              <w:right w:val="nil"/>
            </w:tcBorders>
            <w:vAlign w:val="bottom"/>
            <w:hideMark/>
          </w:tcPr>
          <w:p w14:paraId="68FB0FB0" w14:textId="77777777" w:rsidR="006A0C45" w:rsidRPr="00A726B3" w:rsidRDefault="006A0C45" w:rsidP="00D12177">
            <w:pPr>
              <w:spacing w:after="0" w:line="240" w:lineRule="auto"/>
              <w:jc w:val="center"/>
              <w:rPr>
                <w:rFonts w:ascii="Times New Roman" w:eastAsia="Times New Roman" w:hAnsi="Times New Roman" w:cs="Times New Roman"/>
                <w:b/>
                <w:sz w:val="20"/>
                <w:szCs w:val="20"/>
              </w:rPr>
            </w:pPr>
            <w:r w:rsidRPr="00A726B3">
              <w:rPr>
                <w:rFonts w:ascii="Times New Roman" w:eastAsia="Times New Roman" w:hAnsi="Times New Roman" w:cs="Times New Roman"/>
                <w:b/>
                <w:sz w:val="20"/>
                <w:szCs w:val="20"/>
              </w:rPr>
              <w:t>Step Therapy</w:t>
            </w:r>
            <w:r w:rsidRPr="00A726B3">
              <w:rPr>
                <w:rFonts w:ascii="Times New Roman" w:eastAsia="Times New Roman" w:hAnsi="Times New Roman" w:cs="Times New Roman"/>
                <w:b/>
                <w:sz w:val="20"/>
                <w:szCs w:val="20"/>
              </w:rPr>
              <w:br/>
              <w:t xml:space="preserve"> Exception Requests</w:t>
            </w:r>
          </w:p>
        </w:tc>
        <w:tc>
          <w:tcPr>
            <w:tcW w:w="1941" w:type="dxa"/>
            <w:tcBorders>
              <w:top w:val="single" w:sz="4" w:space="0" w:color="auto"/>
              <w:left w:val="single" w:sz="4" w:space="0" w:color="auto"/>
              <w:bottom w:val="nil"/>
              <w:right w:val="nil"/>
            </w:tcBorders>
            <w:vAlign w:val="bottom"/>
            <w:hideMark/>
          </w:tcPr>
          <w:p w14:paraId="0295CCED" w14:textId="77777777" w:rsidR="006A0C45" w:rsidRPr="00A726B3" w:rsidRDefault="006A0C45" w:rsidP="00D12177">
            <w:pPr>
              <w:spacing w:after="0" w:line="240" w:lineRule="auto"/>
              <w:jc w:val="center"/>
              <w:rPr>
                <w:rFonts w:ascii="Times New Roman" w:eastAsia="Times New Roman" w:hAnsi="Times New Roman" w:cs="Times New Roman"/>
                <w:b/>
                <w:sz w:val="20"/>
                <w:szCs w:val="20"/>
              </w:rPr>
            </w:pPr>
            <w:r w:rsidRPr="00A726B3">
              <w:rPr>
                <w:rFonts w:ascii="Times New Roman" w:eastAsia="Times New Roman" w:hAnsi="Times New Roman" w:cs="Times New Roman"/>
                <w:b/>
                <w:sz w:val="20"/>
                <w:szCs w:val="20"/>
              </w:rPr>
              <w:t>Drug Formulary Exception Requests</w:t>
            </w:r>
          </w:p>
        </w:tc>
        <w:tc>
          <w:tcPr>
            <w:tcW w:w="1722" w:type="dxa"/>
            <w:tcBorders>
              <w:top w:val="single" w:sz="4" w:space="0" w:color="auto"/>
              <w:left w:val="single" w:sz="4" w:space="0" w:color="auto"/>
              <w:bottom w:val="nil"/>
              <w:right w:val="nil"/>
            </w:tcBorders>
            <w:vAlign w:val="bottom"/>
            <w:hideMark/>
          </w:tcPr>
          <w:p w14:paraId="47E3487C" w14:textId="77777777" w:rsidR="006A0C45" w:rsidRPr="00A726B3" w:rsidRDefault="006A0C45" w:rsidP="00D12177">
            <w:pPr>
              <w:spacing w:after="0" w:line="240" w:lineRule="auto"/>
              <w:jc w:val="center"/>
              <w:rPr>
                <w:rFonts w:ascii="Times New Roman" w:eastAsia="Times New Roman" w:hAnsi="Times New Roman" w:cs="Times New Roman"/>
                <w:b/>
                <w:sz w:val="20"/>
                <w:szCs w:val="20"/>
              </w:rPr>
            </w:pPr>
            <w:r w:rsidRPr="00A726B3">
              <w:rPr>
                <w:rFonts w:ascii="Times New Roman" w:eastAsia="Times New Roman" w:hAnsi="Times New Roman" w:cs="Times New Roman"/>
                <w:b/>
                <w:sz w:val="20"/>
                <w:szCs w:val="20"/>
              </w:rPr>
              <w:t>Step Therapy</w:t>
            </w:r>
            <w:r w:rsidRPr="00A726B3">
              <w:rPr>
                <w:rFonts w:ascii="Times New Roman" w:eastAsia="Times New Roman" w:hAnsi="Times New Roman" w:cs="Times New Roman"/>
                <w:b/>
                <w:sz w:val="20"/>
                <w:szCs w:val="20"/>
              </w:rPr>
              <w:br/>
              <w:t xml:space="preserve"> Exception Requests</w:t>
            </w:r>
          </w:p>
        </w:tc>
        <w:tc>
          <w:tcPr>
            <w:tcW w:w="2723" w:type="dxa"/>
            <w:tcBorders>
              <w:top w:val="single" w:sz="4" w:space="0" w:color="auto"/>
              <w:left w:val="single" w:sz="4" w:space="0" w:color="auto"/>
              <w:bottom w:val="single" w:sz="4" w:space="0" w:color="auto"/>
              <w:right w:val="single" w:sz="4" w:space="0" w:color="auto"/>
            </w:tcBorders>
            <w:vAlign w:val="bottom"/>
            <w:hideMark/>
          </w:tcPr>
          <w:p w14:paraId="75609337" w14:textId="77777777" w:rsidR="006A0C45" w:rsidRPr="00A726B3" w:rsidRDefault="006A0C45" w:rsidP="00D12177">
            <w:pPr>
              <w:spacing w:after="0" w:line="240" w:lineRule="auto"/>
              <w:jc w:val="center"/>
              <w:rPr>
                <w:rFonts w:ascii="Times New Roman" w:eastAsia="Times New Roman" w:hAnsi="Times New Roman" w:cs="Times New Roman"/>
                <w:b/>
                <w:sz w:val="20"/>
                <w:szCs w:val="20"/>
              </w:rPr>
            </w:pPr>
            <w:r w:rsidRPr="00A726B3">
              <w:rPr>
                <w:rFonts w:ascii="Times New Roman" w:eastAsia="Times New Roman" w:hAnsi="Times New Roman" w:cs="Times New Roman"/>
                <w:b/>
                <w:sz w:val="20"/>
                <w:szCs w:val="20"/>
              </w:rPr>
              <w:t>Drug Formulary Exception Requests</w:t>
            </w:r>
          </w:p>
        </w:tc>
      </w:tr>
      <w:tr w:rsidR="006A0C45" w:rsidRPr="00CB4BFC" w14:paraId="51CEF136" w14:textId="77777777" w:rsidTr="003C5229">
        <w:trPr>
          <w:trHeight w:val="308"/>
        </w:trPr>
        <w:tc>
          <w:tcPr>
            <w:tcW w:w="1312" w:type="dxa"/>
            <w:tcBorders>
              <w:top w:val="single" w:sz="4" w:space="0" w:color="auto"/>
              <w:left w:val="single" w:sz="4" w:space="0" w:color="auto"/>
              <w:bottom w:val="nil"/>
              <w:right w:val="single" w:sz="4" w:space="0" w:color="auto"/>
            </w:tcBorders>
            <w:noWrap/>
            <w:vAlign w:val="bottom"/>
            <w:hideMark/>
          </w:tcPr>
          <w:p w14:paraId="3865CFC2"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BCBSNM</w:t>
            </w:r>
          </w:p>
        </w:tc>
        <w:tc>
          <w:tcPr>
            <w:tcW w:w="1842" w:type="dxa"/>
            <w:tcBorders>
              <w:top w:val="single" w:sz="4" w:space="0" w:color="auto"/>
              <w:left w:val="nil"/>
              <w:bottom w:val="single" w:sz="4" w:space="0" w:color="auto"/>
              <w:right w:val="single" w:sz="4" w:space="0" w:color="auto"/>
            </w:tcBorders>
            <w:noWrap/>
            <w:vAlign w:val="center"/>
            <w:hideMark/>
          </w:tcPr>
          <w:p w14:paraId="34E02888"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699</w:t>
            </w:r>
          </w:p>
        </w:tc>
        <w:tc>
          <w:tcPr>
            <w:tcW w:w="1941" w:type="dxa"/>
            <w:tcBorders>
              <w:top w:val="single" w:sz="4" w:space="0" w:color="auto"/>
              <w:left w:val="nil"/>
              <w:bottom w:val="single" w:sz="4" w:space="0" w:color="auto"/>
              <w:right w:val="single" w:sz="4" w:space="0" w:color="auto"/>
            </w:tcBorders>
            <w:noWrap/>
            <w:vAlign w:val="center"/>
            <w:hideMark/>
          </w:tcPr>
          <w:p w14:paraId="167FC832"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1,953</w:t>
            </w:r>
          </w:p>
        </w:tc>
        <w:tc>
          <w:tcPr>
            <w:tcW w:w="1722" w:type="dxa"/>
            <w:tcBorders>
              <w:top w:val="single" w:sz="4" w:space="0" w:color="auto"/>
              <w:left w:val="nil"/>
              <w:bottom w:val="single" w:sz="4" w:space="0" w:color="auto"/>
              <w:right w:val="single" w:sz="4" w:space="0" w:color="auto"/>
            </w:tcBorders>
            <w:noWrap/>
            <w:vAlign w:val="center"/>
            <w:hideMark/>
          </w:tcPr>
          <w:p w14:paraId="3F2FD106"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79</w:t>
            </w:r>
          </w:p>
        </w:tc>
        <w:tc>
          <w:tcPr>
            <w:tcW w:w="2723" w:type="dxa"/>
            <w:tcBorders>
              <w:top w:val="nil"/>
              <w:left w:val="nil"/>
              <w:bottom w:val="single" w:sz="4" w:space="0" w:color="auto"/>
              <w:right w:val="single" w:sz="4" w:space="0" w:color="auto"/>
            </w:tcBorders>
            <w:noWrap/>
            <w:vAlign w:val="center"/>
            <w:hideMark/>
          </w:tcPr>
          <w:p w14:paraId="2872A920"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496</w:t>
            </w:r>
          </w:p>
        </w:tc>
      </w:tr>
      <w:tr w:rsidR="006A0C45" w:rsidRPr="00CB4BFC" w14:paraId="1F0DC9D1" w14:textId="77777777" w:rsidTr="003C5229">
        <w:trPr>
          <w:trHeight w:val="308"/>
        </w:trPr>
        <w:tc>
          <w:tcPr>
            <w:tcW w:w="1312" w:type="dxa"/>
            <w:tcBorders>
              <w:top w:val="single" w:sz="4" w:space="0" w:color="auto"/>
              <w:left w:val="single" w:sz="4" w:space="0" w:color="auto"/>
              <w:bottom w:val="single" w:sz="4" w:space="0" w:color="auto"/>
              <w:right w:val="single" w:sz="4" w:space="0" w:color="auto"/>
            </w:tcBorders>
            <w:noWrap/>
            <w:vAlign w:val="bottom"/>
            <w:hideMark/>
          </w:tcPr>
          <w:p w14:paraId="0B08947D"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Cigna</w:t>
            </w:r>
          </w:p>
        </w:tc>
        <w:tc>
          <w:tcPr>
            <w:tcW w:w="1842" w:type="dxa"/>
            <w:tcBorders>
              <w:top w:val="nil"/>
              <w:left w:val="nil"/>
              <w:bottom w:val="single" w:sz="4" w:space="0" w:color="auto"/>
              <w:right w:val="single" w:sz="4" w:space="0" w:color="auto"/>
            </w:tcBorders>
            <w:noWrap/>
            <w:vAlign w:val="center"/>
            <w:hideMark/>
          </w:tcPr>
          <w:p w14:paraId="63353A27"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8</w:t>
            </w:r>
          </w:p>
        </w:tc>
        <w:tc>
          <w:tcPr>
            <w:tcW w:w="1941" w:type="dxa"/>
            <w:tcBorders>
              <w:top w:val="nil"/>
              <w:left w:val="nil"/>
              <w:bottom w:val="single" w:sz="4" w:space="0" w:color="auto"/>
              <w:right w:val="single" w:sz="4" w:space="0" w:color="auto"/>
            </w:tcBorders>
            <w:noWrap/>
            <w:vAlign w:val="center"/>
            <w:hideMark/>
          </w:tcPr>
          <w:p w14:paraId="0C04D398"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80</w:t>
            </w:r>
          </w:p>
        </w:tc>
        <w:tc>
          <w:tcPr>
            <w:tcW w:w="1722" w:type="dxa"/>
            <w:tcBorders>
              <w:top w:val="nil"/>
              <w:left w:val="nil"/>
              <w:bottom w:val="single" w:sz="4" w:space="0" w:color="auto"/>
              <w:right w:val="single" w:sz="4" w:space="0" w:color="auto"/>
            </w:tcBorders>
            <w:noWrap/>
            <w:vAlign w:val="center"/>
            <w:hideMark/>
          </w:tcPr>
          <w:p w14:paraId="30363780"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w:t>
            </w:r>
          </w:p>
        </w:tc>
        <w:tc>
          <w:tcPr>
            <w:tcW w:w="2723" w:type="dxa"/>
            <w:tcBorders>
              <w:top w:val="nil"/>
              <w:left w:val="nil"/>
              <w:bottom w:val="single" w:sz="4" w:space="0" w:color="auto"/>
              <w:right w:val="single" w:sz="4" w:space="0" w:color="auto"/>
            </w:tcBorders>
            <w:noWrap/>
            <w:vAlign w:val="center"/>
            <w:hideMark/>
          </w:tcPr>
          <w:p w14:paraId="2AFBF5B4"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w:t>
            </w:r>
          </w:p>
        </w:tc>
      </w:tr>
      <w:tr w:rsidR="006A0C45" w:rsidRPr="00CB4BFC" w14:paraId="6997FCF1"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6F041F14"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Molina</w:t>
            </w:r>
          </w:p>
        </w:tc>
        <w:tc>
          <w:tcPr>
            <w:tcW w:w="1842" w:type="dxa"/>
            <w:tcBorders>
              <w:top w:val="nil"/>
              <w:left w:val="nil"/>
              <w:bottom w:val="single" w:sz="4" w:space="0" w:color="auto"/>
              <w:right w:val="single" w:sz="4" w:space="0" w:color="auto"/>
            </w:tcBorders>
            <w:noWrap/>
            <w:vAlign w:val="center"/>
            <w:hideMark/>
          </w:tcPr>
          <w:p w14:paraId="0C293F66"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151</w:t>
            </w:r>
          </w:p>
        </w:tc>
        <w:tc>
          <w:tcPr>
            <w:tcW w:w="1941" w:type="dxa"/>
            <w:tcBorders>
              <w:top w:val="nil"/>
              <w:left w:val="nil"/>
              <w:bottom w:val="single" w:sz="4" w:space="0" w:color="auto"/>
              <w:right w:val="single" w:sz="4" w:space="0" w:color="auto"/>
            </w:tcBorders>
            <w:noWrap/>
            <w:vAlign w:val="center"/>
            <w:hideMark/>
          </w:tcPr>
          <w:p w14:paraId="2571ECB8"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295</w:t>
            </w:r>
          </w:p>
        </w:tc>
        <w:tc>
          <w:tcPr>
            <w:tcW w:w="1722" w:type="dxa"/>
            <w:tcBorders>
              <w:top w:val="nil"/>
              <w:left w:val="nil"/>
              <w:bottom w:val="single" w:sz="4" w:space="0" w:color="auto"/>
              <w:right w:val="single" w:sz="4" w:space="0" w:color="auto"/>
            </w:tcBorders>
            <w:noWrap/>
            <w:vAlign w:val="center"/>
            <w:hideMark/>
          </w:tcPr>
          <w:p w14:paraId="1E931F52"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723" w:type="dxa"/>
            <w:tcBorders>
              <w:top w:val="nil"/>
              <w:left w:val="nil"/>
              <w:bottom w:val="single" w:sz="4" w:space="0" w:color="auto"/>
              <w:right w:val="single" w:sz="4" w:space="0" w:color="auto"/>
            </w:tcBorders>
            <w:noWrap/>
            <w:vAlign w:val="center"/>
            <w:hideMark/>
          </w:tcPr>
          <w:p w14:paraId="0D25436A"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28</w:t>
            </w:r>
          </w:p>
        </w:tc>
      </w:tr>
      <w:tr w:rsidR="006A0C45" w:rsidRPr="00CB4BFC" w14:paraId="4365CDC1"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06CF95AD"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PHP</w:t>
            </w:r>
          </w:p>
        </w:tc>
        <w:tc>
          <w:tcPr>
            <w:tcW w:w="1842" w:type="dxa"/>
            <w:tcBorders>
              <w:top w:val="nil"/>
              <w:left w:val="nil"/>
              <w:bottom w:val="single" w:sz="4" w:space="0" w:color="auto"/>
              <w:right w:val="single" w:sz="4" w:space="0" w:color="auto"/>
            </w:tcBorders>
            <w:noWrap/>
            <w:vAlign w:val="center"/>
            <w:hideMark/>
          </w:tcPr>
          <w:p w14:paraId="64ADC571" w14:textId="6DC39386" w:rsidR="006A0C45" w:rsidRPr="00A726B3" w:rsidRDefault="00B75BDE"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750</w:t>
            </w:r>
          </w:p>
        </w:tc>
        <w:tc>
          <w:tcPr>
            <w:tcW w:w="1941" w:type="dxa"/>
            <w:tcBorders>
              <w:top w:val="nil"/>
              <w:left w:val="nil"/>
              <w:bottom w:val="single" w:sz="4" w:space="0" w:color="auto"/>
              <w:right w:val="single" w:sz="4" w:space="0" w:color="auto"/>
            </w:tcBorders>
            <w:noWrap/>
            <w:vAlign w:val="center"/>
            <w:hideMark/>
          </w:tcPr>
          <w:p w14:paraId="797C77B5" w14:textId="5D8973DA"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w:t>
            </w:r>
            <w:r w:rsidR="00B75BDE">
              <w:rPr>
                <w:rFonts w:ascii="Times New Roman" w:eastAsia="Times New Roman" w:hAnsi="Times New Roman" w:cs="Times New Roman"/>
                <w:color w:val="000000"/>
                <w:sz w:val="20"/>
                <w:szCs w:val="20"/>
              </w:rPr>
              <w:t>493</w:t>
            </w:r>
          </w:p>
        </w:tc>
        <w:tc>
          <w:tcPr>
            <w:tcW w:w="1722" w:type="dxa"/>
            <w:tcBorders>
              <w:top w:val="nil"/>
              <w:left w:val="nil"/>
              <w:bottom w:val="single" w:sz="4" w:space="0" w:color="auto"/>
              <w:right w:val="single" w:sz="4" w:space="0" w:color="auto"/>
            </w:tcBorders>
            <w:noWrap/>
            <w:vAlign w:val="center"/>
            <w:hideMark/>
          </w:tcPr>
          <w:p w14:paraId="37095E07" w14:textId="23E358BD"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w:t>
            </w:r>
            <w:r w:rsidR="00B75BDE">
              <w:rPr>
                <w:rFonts w:ascii="Times New Roman" w:eastAsia="Times New Roman" w:hAnsi="Times New Roman" w:cs="Times New Roman"/>
                <w:color w:val="000000"/>
                <w:sz w:val="20"/>
                <w:szCs w:val="20"/>
              </w:rPr>
              <w:t>32</w:t>
            </w:r>
          </w:p>
        </w:tc>
        <w:tc>
          <w:tcPr>
            <w:tcW w:w="2723" w:type="dxa"/>
            <w:tcBorders>
              <w:top w:val="nil"/>
              <w:left w:val="nil"/>
              <w:bottom w:val="single" w:sz="4" w:space="0" w:color="auto"/>
              <w:right w:val="single" w:sz="4" w:space="0" w:color="auto"/>
            </w:tcBorders>
            <w:noWrap/>
            <w:vAlign w:val="center"/>
            <w:hideMark/>
          </w:tcPr>
          <w:p w14:paraId="7D69155F" w14:textId="06ACF207" w:rsidR="006A0C45" w:rsidRPr="00A726B3" w:rsidRDefault="00B75BDE" w:rsidP="00D1217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r>
      <w:tr w:rsidR="006A0C45" w:rsidRPr="00CB4BFC" w14:paraId="31860408"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339342DA"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PIC</w:t>
            </w:r>
          </w:p>
        </w:tc>
        <w:tc>
          <w:tcPr>
            <w:tcW w:w="1842" w:type="dxa"/>
            <w:tcBorders>
              <w:top w:val="nil"/>
              <w:left w:val="nil"/>
              <w:bottom w:val="single" w:sz="4" w:space="0" w:color="auto"/>
              <w:right w:val="single" w:sz="4" w:space="0" w:color="auto"/>
            </w:tcBorders>
            <w:noWrap/>
            <w:vAlign w:val="center"/>
            <w:hideMark/>
          </w:tcPr>
          <w:p w14:paraId="33786197"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96</w:t>
            </w:r>
          </w:p>
        </w:tc>
        <w:tc>
          <w:tcPr>
            <w:tcW w:w="1941" w:type="dxa"/>
            <w:tcBorders>
              <w:top w:val="nil"/>
              <w:left w:val="nil"/>
              <w:bottom w:val="single" w:sz="4" w:space="0" w:color="auto"/>
              <w:right w:val="single" w:sz="4" w:space="0" w:color="auto"/>
            </w:tcBorders>
            <w:noWrap/>
            <w:vAlign w:val="center"/>
            <w:hideMark/>
          </w:tcPr>
          <w:p w14:paraId="2C44A0C5"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193</w:t>
            </w:r>
          </w:p>
        </w:tc>
        <w:tc>
          <w:tcPr>
            <w:tcW w:w="1722" w:type="dxa"/>
            <w:tcBorders>
              <w:top w:val="nil"/>
              <w:left w:val="nil"/>
              <w:bottom w:val="single" w:sz="4" w:space="0" w:color="auto"/>
              <w:right w:val="single" w:sz="4" w:space="0" w:color="auto"/>
            </w:tcBorders>
            <w:noWrap/>
            <w:vAlign w:val="center"/>
            <w:hideMark/>
          </w:tcPr>
          <w:p w14:paraId="5FD860E8"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14</w:t>
            </w:r>
          </w:p>
        </w:tc>
        <w:tc>
          <w:tcPr>
            <w:tcW w:w="2723" w:type="dxa"/>
            <w:tcBorders>
              <w:top w:val="nil"/>
              <w:left w:val="nil"/>
              <w:bottom w:val="single" w:sz="4" w:space="0" w:color="auto"/>
              <w:right w:val="single" w:sz="4" w:space="0" w:color="auto"/>
            </w:tcBorders>
            <w:noWrap/>
            <w:vAlign w:val="center"/>
            <w:hideMark/>
          </w:tcPr>
          <w:p w14:paraId="0B0A9F18"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21</w:t>
            </w:r>
          </w:p>
        </w:tc>
      </w:tr>
      <w:tr w:rsidR="006A0C45" w:rsidRPr="00CB4BFC" w14:paraId="082F0CDC"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7D55761A"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UHCNM</w:t>
            </w:r>
          </w:p>
        </w:tc>
        <w:tc>
          <w:tcPr>
            <w:tcW w:w="1842" w:type="dxa"/>
            <w:tcBorders>
              <w:top w:val="nil"/>
              <w:left w:val="nil"/>
              <w:bottom w:val="single" w:sz="4" w:space="0" w:color="auto"/>
              <w:right w:val="single" w:sz="4" w:space="0" w:color="auto"/>
            </w:tcBorders>
            <w:noWrap/>
            <w:vAlign w:val="center"/>
            <w:hideMark/>
          </w:tcPr>
          <w:p w14:paraId="52A0C36C"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56</w:t>
            </w:r>
          </w:p>
        </w:tc>
        <w:tc>
          <w:tcPr>
            <w:tcW w:w="1941" w:type="dxa"/>
            <w:tcBorders>
              <w:top w:val="nil"/>
              <w:left w:val="nil"/>
              <w:bottom w:val="single" w:sz="4" w:space="0" w:color="auto"/>
              <w:right w:val="single" w:sz="4" w:space="0" w:color="auto"/>
            </w:tcBorders>
            <w:noWrap/>
            <w:vAlign w:val="center"/>
            <w:hideMark/>
          </w:tcPr>
          <w:p w14:paraId="7C75E95C"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43</w:t>
            </w:r>
          </w:p>
        </w:tc>
        <w:tc>
          <w:tcPr>
            <w:tcW w:w="1722" w:type="dxa"/>
            <w:tcBorders>
              <w:top w:val="nil"/>
              <w:left w:val="nil"/>
              <w:bottom w:val="single" w:sz="4" w:space="0" w:color="auto"/>
              <w:right w:val="single" w:sz="4" w:space="0" w:color="auto"/>
            </w:tcBorders>
            <w:noWrap/>
            <w:vAlign w:val="center"/>
            <w:hideMark/>
          </w:tcPr>
          <w:p w14:paraId="52867A89"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2723" w:type="dxa"/>
            <w:tcBorders>
              <w:top w:val="nil"/>
              <w:left w:val="nil"/>
              <w:bottom w:val="single" w:sz="4" w:space="0" w:color="auto"/>
              <w:right w:val="single" w:sz="4" w:space="0" w:color="auto"/>
            </w:tcBorders>
            <w:noWrap/>
            <w:vAlign w:val="center"/>
            <w:hideMark/>
          </w:tcPr>
          <w:p w14:paraId="0C17CD63"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2</w:t>
            </w:r>
          </w:p>
        </w:tc>
      </w:tr>
      <w:tr w:rsidR="006A0C45" w:rsidRPr="00CB4BFC" w14:paraId="4F5F6AD3"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100D08C0"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UHIC</w:t>
            </w:r>
          </w:p>
        </w:tc>
        <w:tc>
          <w:tcPr>
            <w:tcW w:w="1842" w:type="dxa"/>
            <w:tcBorders>
              <w:top w:val="nil"/>
              <w:left w:val="nil"/>
              <w:bottom w:val="single" w:sz="4" w:space="0" w:color="auto"/>
              <w:right w:val="single" w:sz="4" w:space="0" w:color="auto"/>
            </w:tcBorders>
            <w:noWrap/>
            <w:vAlign w:val="center"/>
            <w:hideMark/>
          </w:tcPr>
          <w:p w14:paraId="5F156366"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563</w:t>
            </w:r>
          </w:p>
        </w:tc>
        <w:tc>
          <w:tcPr>
            <w:tcW w:w="1941" w:type="dxa"/>
            <w:tcBorders>
              <w:top w:val="nil"/>
              <w:left w:val="nil"/>
              <w:bottom w:val="single" w:sz="4" w:space="0" w:color="auto"/>
              <w:right w:val="single" w:sz="4" w:space="0" w:color="auto"/>
            </w:tcBorders>
            <w:noWrap/>
            <w:vAlign w:val="center"/>
            <w:hideMark/>
          </w:tcPr>
          <w:p w14:paraId="52931BFE"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505</w:t>
            </w:r>
          </w:p>
        </w:tc>
        <w:tc>
          <w:tcPr>
            <w:tcW w:w="1722" w:type="dxa"/>
            <w:tcBorders>
              <w:top w:val="nil"/>
              <w:left w:val="nil"/>
              <w:bottom w:val="single" w:sz="4" w:space="0" w:color="auto"/>
              <w:right w:val="single" w:sz="4" w:space="0" w:color="auto"/>
            </w:tcBorders>
            <w:noWrap/>
            <w:vAlign w:val="center"/>
            <w:hideMark/>
          </w:tcPr>
          <w:p w14:paraId="70A5B43D"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9</w:t>
            </w:r>
          </w:p>
        </w:tc>
        <w:tc>
          <w:tcPr>
            <w:tcW w:w="2723" w:type="dxa"/>
            <w:tcBorders>
              <w:top w:val="nil"/>
              <w:left w:val="nil"/>
              <w:bottom w:val="single" w:sz="4" w:space="0" w:color="auto"/>
              <w:right w:val="single" w:sz="4" w:space="0" w:color="auto"/>
            </w:tcBorders>
            <w:noWrap/>
            <w:vAlign w:val="center"/>
            <w:hideMark/>
          </w:tcPr>
          <w:p w14:paraId="2000879E"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111</w:t>
            </w:r>
          </w:p>
        </w:tc>
      </w:tr>
      <w:tr w:rsidR="006A0C45" w:rsidRPr="00CB4BFC" w14:paraId="2094E2BE" w14:textId="77777777" w:rsidTr="003C5229">
        <w:trPr>
          <w:trHeight w:val="308"/>
        </w:trPr>
        <w:tc>
          <w:tcPr>
            <w:tcW w:w="1312" w:type="dxa"/>
            <w:tcBorders>
              <w:top w:val="nil"/>
              <w:left w:val="single" w:sz="4" w:space="0" w:color="auto"/>
              <w:bottom w:val="single" w:sz="4" w:space="0" w:color="auto"/>
              <w:right w:val="single" w:sz="4" w:space="0" w:color="auto"/>
            </w:tcBorders>
            <w:noWrap/>
            <w:vAlign w:val="bottom"/>
            <w:hideMark/>
          </w:tcPr>
          <w:p w14:paraId="1A9203DC" w14:textId="77777777" w:rsidR="006A0C45" w:rsidRPr="00A726B3" w:rsidRDefault="006A0C45" w:rsidP="00D12177">
            <w:pPr>
              <w:spacing w:after="0" w:line="240" w:lineRule="auto"/>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WSCC</w:t>
            </w:r>
          </w:p>
        </w:tc>
        <w:tc>
          <w:tcPr>
            <w:tcW w:w="1842" w:type="dxa"/>
            <w:tcBorders>
              <w:top w:val="nil"/>
              <w:left w:val="nil"/>
              <w:bottom w:val="single" w:sz="4" w:space="0" w:color="auto"/>
              <w:right w:val="single" w:sz="4" w:space="0" w:color="auto"/>
            </w:tcBorders>
            <w:noWrap/>
            <w:vAlign w:val="center"/>
            <w:hideMark/>
          </w:tcPr>
          <w:p w14:paraId="6EAAD547"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8</w:t>
            </w:r>
          </w:p>
        </w:tc>
        <w:tc>
          <w:tcPr>
            <w:tcW w:w="1941" w:type="dxa"/>
            <w:tcBorders>
              <w:top w:val="nil"/>
              <w:left w:val="nil"/>
              <w:bottom w:val="single" w:sz="4" w:space="0" w:color="auto"/>
              <w:right w:val="single" w:sz="4" w:space="0" w:color="auto"/>
            </w:tcBorders>
            <w:noWrap/>
            <w:vAlign w:val="center"/>
            <w:hideMark/>
          </w:tcPr>
          <w:p w14:paraId="2AC4F423"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c>
          <w:tcPr>
            <w:tcW w:w="1722" w:type="dxa"/>
            <w:tcBorders>
              <w:top w:val="nil"/>
              <w:left w:val="nil"/>
              <w:bottom w:val="single" w:sz="4" w:space="0" w:color="auto"/>
              <w:right w:val="single" w:sz="4" w:space="0" w:color="auto"/>
            </w:tcBorders>
            <w:noWrap/>
            <w:vAlign w:val="center"/>
            <w:hideMark/>
          </w:tcPr>
          <w:p w14:paraId="60D6B98E"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13</w:t>
            </w:r>
          </w:p>
        </w:tc>
        <w:tc>
          <w:tcPr>
            <w:tcW w:w="2723" w:type="dxa"/>
            <w:tcBorders>
              <w:top w:val="nil"/>
              <w:left w:val="nil"/>
              <w:bottom w:val="single" w:sz="4" w:space="0" w:color="auto"/>
              <w:right w:val="single" w:sz="4" w:space="0" w:color="auto"/>
            </w:tcBorders>
            <w:noWrap/>
            <w:vAlign w:val="center"/>
            <w:hideMark/>
          </w:tcPr>
          <w:p w14:paraId="28996A6F" w14:textId="77777777" w:rsidR="006A0C45" w:rsidRPr="00A726B3" w:rsidRDefault="006A0C45" w:rsidP="00D12177">
            <w:pPr>
              <w:spacing w:after="0" w:line="240" w:lineRule="auto"/>
              <w:jc w:val="center"/>
              <w:rPr>
                <w:rFonts w:ascii="Times New Roman" w:eastAsia="Times New Roman" w:hAnsi="Times New Roman" w:cs="Times New Roman"/>
                <w:color w:val="000000"/>
                <w:sz w:val="20"/>
                <w:szCs w:val="20"/>
              </w:rPr>
            </w:pPr>
            <w:r w:rsidRPr="00A726B3">
              <w:rPr>
                <w:rFonts w:ascii="Times New Roman" w:eastAsia="Times New Roman" w:hAnsi="Times New Roman" w:cs="Times New Roman"/>
                <w:color w:val="000000"/>
                <w:sz w:val="20"/>
                <w:szCs w:val="20"/>
              </w:rPr>
              <w:t>0</w:t>
            </w:r>
          </w:p>
        </w:tc>
      </w:tr>
      <w:bookmarkEnd w:id="18"/>
    </w:tbl>
    <w:p w14:paraId="21A45C3E" w14:textId="77777777" w:rsidR="007D0459" w:rsidRPr="007D0459" w:rsidRDefault="007D0459" w:rsidP="007D0459">
      <w:pPr>
        <w:rPr>
          <w:rFonts w:ascii="Times New Roman" w:hAnsi="Times New Roman" w:cs="Times New Roman"/>
        </w:rPr>
      </w:pPr>
    </w:p>
    <w:p w14:paraId="39737B9C" w14:textId="77777777" w:rsidR="007D0459" w:rsidRPr="007D0459" w:rsidRDefault="007D0459" w:rsidP="007D0459">
      <w:pPr>
        <w:rPr>
          <w:rFonts w:ascii="Times New Roman" w:hAnsi="Times New Roman" w:cs="Times New Roman"/>
        </w:rPr>
      </w:pPr>
    </w:p>
    <w:p w14:paraId="1E59D548" w14:textId="77777777" w:rsidR="007D0459" w:rsidRPr="007D0459" w:rsidRDefault="007D0459" w:rsidP="007D0459">
      <w:pPr>
        <w:rPr>
          <w:rFonts w:ascii="Times New Roman" w:hAnsi="Times New Roman" w:cs="Times New Roman"/>
        </w:rPr>
      </w:pPr>
    </w:p>
    <w:p w14:paraId="7757FB2D" w14:textId="77777777" w:rsidR="007D0459" w:rsidRPr="007D0459" w:rsidRDefault="007D0459" w:rsidP="007D0459">
      <w:pPr>
        <w:rPr>
          <w:rFonts w:ascii="Times New Roman" w:hAnsi="Times New Roman" w:cs="Times New Roman"/>
        </w:rPr>
      </w:pPr>
    </w:p>
    <w:p w14:paraId="054BED41" w14:textId="77777777" w:rsidR="007D0459" w:rsidRPr="007D0459" w:rsidRDefault="007D0459" w:rsidP="007D0459">
      <w:pPr>
        <w:rPr>
          <w:rFonts w:ascii="Times New Roman" w:hAnsi="Times New Roman" w:cs="Times New Roman"/>
        </w:rPr>
      </w:pPr>
    </w:p>
    <w:p w14:paraId="4CD98C7C" w14:textId="77777777" w:rsidR="007D0459" w:rsidRPr="007D0459" w:rsidRDefault="007D0459" w:rsidP="007D0459">
      <w:pPr>
        <w:rPr>
          <w:rFonts w:ascii="Times New Roman" w:hAnsi="Times New Roman" w:cs="Times New Roman"/>
        </w:rPr>
      </w:pPr>
    </w:p>
    <w:p w14:paraId="50EF61E3" w14:textId="77777777" w:rsidR="007D0459" w:rsidRPr="007D0459" w:rsidRDefault="007D0459" w:rsidP="007D0459">
      <w:pPr>
        <w:rPr>
          <w:rFonts w:ascii="Times New Roman" w:hAnsi="Times New Roman" w:cs="Times New Roman"/>
        </w:rPr>
      </w:pPr>
    </w:p>
    <w:p w14:paraId="01C1A8C6" w14:textId="77777777" w:rsidR="006A0C45" w:rsidRPr="006A0C45" w:rsidRDefault="006A0C45" w:rsidP="006A0C45">
      <w:pPr>
        <w:keepNext/>
        <w:keepLines/>
        <w:spacing w:before="160" w:after="80" w:line="259" w:lineRule="auto"/>
        <w:outlineLvl w:val="1"/>
        <w:rPr>
          <w:rFonts w:ascii="Times New Roman" w:eastAsia="Yu Gothic Light" w:hAnsi="Times New Roman" w:cs="Times New Roman"/>
          <w:b/>
          <w:bCs/>
          <w:color w:val="002060"/>
          <w:kern w:val="2"/>
          <w:sz w:val="28"/>
          <w:szCs w:val="28"/>
          <w14:ligatures w14:val="standardContextual"/>
        </w:rPr>
      </w:pPr>
      <w:bookmarkStart w:id="19" w:name="_Toc209356549"/>
      <w:r w:rsidRPr="006A0C45">
        <w:rPr>
          <w:rFonts w:ascii="Times New Roman" w:eastAsia="Yu Gothic Light" w:hAnsi="Times New Roman" w:cs="Times New Roman"/>
          <w:b/>
          <w:bCs/>
          <w:color w:val="002060"/>
          <w:kern w:val="2"/>
          <w:sz w:val="28"/>
          <w:szCs w:val="28"/>
          <w14:ligatures w14:val="standardContextual"/>
        </w:rPr>
        <w:lastRenderedPageBreak/>
        <w:t>Step Therapy Exception Requests</w:t>
      </w:r>
      <w:bookmarkEnd w:id="19"/>
    </w:p>
    <w:p w14:paraId="18CDEC8A"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Step therapy exception denial rates ranged from 13% to 88% (Figure 10). </w:t>
      </w:r>
    </w:p>
    <w:p w14:paraId="2EF83849"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 </w:t>
      </w:r>
      <w:r w:rsidRPr="007D0459">
        <w:rPr>
          <w:rFonts w:ascii="Times New Roman" w:hAnsi="Times New Roman" w:cs="Times New Roman"/>
          <w:noProof/>
        </w:rPr>
        <w:drawing>
          <wp:inline distT="0" distB="0" distL="0" distR="0" wp14:anchorId="5D37AB51" wp14:editId="4B430ECB">
            <wp:extent cx="5080958" cy="3183147"/>
            <wp:effectExtent l="0" t="0" r="5715" b="17780"/>
            <wp:docPr id="2038841587" name="Chart 1">
              <a:extLst xmlns:a="http://schemas.openxmlformats.org/drawingml/2006/main">
                <a:ext uri="{FF2B5EF4-FFF2-40B4-BE49-F238E27FC236}">
                  <a16:creationId xmlns:a16="http://schemas.microsoft.com/office/drawing/2014/main" id="{D5152C94-AE76-525A-A5A2-624683FF2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9A044F" w14:textId="77777777" w:rsidR="006A0C45" w:rsidRPr="006A0C45" w:rsidRDefault="006A0C45" w:rsidP="006A0C45">
      <w:pPr>
        <w:keepNext/>
        <w:keepLines/>
        <w:spacing w:before="160" w:after="80" w:line="259" w:lineRule="auto"/>
        <w:outlineLvl w:val="1"/>
        <w:rPr>
          <w:rFonts w:ascii="Times New Roman" w:eastAsia="Yu Gothic Light" w:hAnsi="Times New Roman" w:cs="Times New Roman"/>
          <w:b/>
          <w:bCs/>
          <w:color w:val="002060"/>
          <w:kern w:val="2"/>
          <w:sz w:val="28"/>
          <w:szCs w:val="28"/>
          <w14:ligatures w14:val="standardContextual"/>
        </w:rPr>
      </w:pPr>
      <w:bookmarkStart w:id="20" w:name="_Toc209356550"/>
      <w:r w:rsidRPr="006A0C45">
        <w:rPr>
          <w:rFonts w:ascii="Times New Roman" w:eastAsia="Yu Gothic Light" w:hAnsi="Times New Roman" w:cs="Times New Roman"/>
          <w:b/>
          <w:bCs/>
          <w:color w:val="002060"/>
          <w:kern w:val="2"/>
          <w:sz w:val="28"/>
          <w:szCs w:val="28"/>
          <w14:ligatures w14:val="standardContextual"/>
        </w:rPr>
        <w:t>Drug Formulary Exception Requests</w:t>
      </w:r>
      <w:bookmarkEnd w:id="20"/>
    </w:p>
    <w:p w14:paraId="61CF396F"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Drug formulary exception denial rates were higher, ranging from 32% to 100% (Figure 11). </w:t>
      </w:r>
    </w:p>
    <w:p w14:paraId="65DB37D4" w14:textId="77777777" w:rsidR="007D0459" w:rsidRPr="007D0459" w:rsidRDefault="007D0459" w:rsidP="007D0459">
      <w:pPr>
        <w:rPr>
          <w:rFonts w:ascii="Times New Roman" w:hAnsi="Times New Roman" w:cs="Times New Roman"/>
        </w:rPr>
      </w:pPr>
      <w:r w:rsidRPr="007D0459">
        <w:rPr>
          <w:rFonts w:ascii="Times New Roman" w:hAnsi="Times New Roman" w:cs="Times New Roman"/>
          <w:noProof/>
        </w:rPr>
        <w:drawing>
          <wp:inline distT="0" distB="0" distL="0" distR="0" wp14:anchorId="07DB2C4F" wp14:editId="0421B4BE">
            <wp:extent cx="5305245" cy="3062377"/>
            <wp:effectExtent l="0" t="0" r="10160" b="5080"/>
            <wp:docPr id="1678079583" name="Chart 1">
              <a:extLst xmlns:a="http://schemas.openxmlformats.org/drawingml/2006/main">
                <a:ext uri="{FF2B5EF4-FFF2-40B4-BE49-F238E27FC236}">
                  <a16:creationId xmlns:a16="http://schemas.microsoft.com/office/drawing/2014/main" id="{FFA258FC-826E-80DF-F5F3-54C5DD0ED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D0459">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6797EC2C" wp14:editId="4A4C341E">
                <wp:simplePos x="0" y="0"/>
                <wp:positionH relativeFrom="margin">
                  <wp:posOffset>25400</wp:posOffset>
                </wp:positionH>
                <wp:positionV relativeFrom="page">
                  <wp:posOffset>8820785</wp:posOffset>
                </wp:positionV>
                <wp:extent cx="5697855" cy="368300"/>
                <wp:effectExtent l="0" t="0" r="0" b="0"/>
                <wp:wrapSquare wrapText="bothSides"/>
                <wp:docPr id="185314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855" cy="368300"/>
                        </a:xfrm>
                        <a:prstGeom prst="rect">
                          <a:avLst/>
                        </a:prstGeom>
                        <a:solidFill>
                          <a:srgbClr val="FFFFFF"/>
                        </a:solidFill>
                        <a:ln w="9525">
                          <a:noFill/>
                          <a:miter lim="800000"/>
                          <a:headEnd/>
                          <a:tailEnd/>
                        </a:ln>
                      </wps:spPr>
                      <wps:txbx>
                        <w:txbxContent>
                          <w:p w14:paraId="4CFA494D" w14:textId="77777777" w:rsidR="007D0459" w:rsidRPr="008E0B23" w:rsidRDefault="007D0459" w:rsidP="007D0459">
                            <w:pPr>
                              <w:rPr>
                                <w:rFonts w:ascii="Times New Roman" w:hAnsi="Times New Roman" w:cs="Times New Roman"/>
                                <w:i/>
                                <w:iCs/>
                                <w:sz w:val="16"/>
                                <w:szCs w:val="16"/>
                              </w:rPr>
                            </w:pPr>
                            <w:r w:rsidRPr="008E0B23">
                              <w:rPr>
                                <w:rFonts w:ascii="Times New Roman" w:hAnsi="Times New Roman" w:cs="Times New Roman"/>
                                <w:i/>
                                <w:iCs/>
                                <w:sz w:val="16"/>
                                <w:szCs w:val="16"/>
                              </w:rPr>
                              <w:t>* WSCC reported zero formulary exception requests in the calendar year.  UHCNM reported zero formulary requests for MH/SUD in the calendar year (See Table 4).</w:t>
                            </w:r>
                          </w:p>
                          <w:p w14:paraId="38DADE9F" w14:textId="77777777" w:rsidR="007D0459" w:rsidRDefault="007D0459" w:rsidP="007D0459">
                            <w:pPr>
                              <w:rPr>
                                <w:i/>
                                <w:iCs/>
                                <w:sz w:val="16"/>
                                <w:szCs w:val="16"/>
                              </w:rPr>
                            </w:pPr>
                          </w:p>
                          <w:p w14:paraId="3F9B56D3" w14:textId="77777777" w:rsidR="007D0459" w:rsidRDefault="007D0459" w:rsidP="007D0459">
                            <w:pPr>
                              <w:rPr>
                                <w:i/>
                                <w:iCs/>
                                <w:sz w:val="16"/>
                                <w:szCs w:val="16"/>
                              </w:rPr>
                            </w:pPr>
                          </w:p>
                          <w:p w14:paraId="455EA70E" w14:textId="77777777" w:rsidR="007D0459" w:rsidRPr="009E208F" w:rsidRDefault="007D0459" w:rsidP="007D0459">
                            <w:pPr>
                              <w:rPr>
                                <w:i/>
                                <w:iCs/>
                                <w:sz w:val="16"/>
                                <w:szCs w:val="16"/>
                              </w:rPr>
                            </w:pPr>
                            <w:r>
                              <w:rPr>
                                <w:i/>
                                <w:iCs/>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EC2C" id="_x0000_s1029" type="#_x0000_t202" style="position:absolute;margin-left:2pt;margin-top:694.55pt;width:448.65pt;height:2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" stroked="f">
                <v:textbox>
                  <w:txbxContent>
                    <w:p w14:paraId="4CFA494D" w14:textId="77777777" w:rsidR="007D0459" w:rsidRPr="008E0B23" w:rsidRDefault="007D0459" w:rsidP="007D0459">
                      <w:pPr>
                        <w:rPr>
                          <w:rFonts w:ascii="Times New Roman" w:hAnsi="Times New Roman" w:cs="Times New Roman"/>
                          <w:i/>
                          <w:iCs/>
                          <w:sz w:val="16"/>
                          <w:szCs w:val="16"/>
                        </w:rPr>
                      </w:pPr>
                      <w:r w:rsidRPr="008E0B23">
                        <w:rPr>
                          <w:rFonts w:ascii="Times New Roman" w:hAnsi="Times New Roman" w:cs="Times New Roman"/>
                          <w:i/>
                          <w:iCs/>
                          <w:sz w:val="16"/>
                          <w:szCs w:val="16"/>
                        </w:rPr>
                        <w:t>* WSCC reported zero formulary exception requests in the calendar year.  UHCNM reported zero formulary requests for MH/SUD in the calendar year (See Table 4).</w:t>
                      </w:r>
                    </w:p>
                    <w:p w14:paraId="38DADE9F" w14:textId="77777777" w:rsidR="007D0459" w:rsidRDefault="007D0459" w:rsidP="007D0459">
                      <w:pPr>
                        <w:rPr>
                          <w:i/>
                          <w:iCs/>
                          <w:sz w:val="16"/>
                          <w:szCs w:val="16"/>
                        </w:rPr>
                      </w:pPr>
                    </w:p>
                    <w:p w14:paraId="3F9B56D3" w14:textId="77777777" w:rsidR="007D0459" w:rsidRDefault="007D0459" w:rsidP="007D0459">
                      <w:pPr>
                        <w:rPr>
                          <w:i/>
                          <w:iCs/>
                          <w:sz w:val="16"/>
                          <w:szCs w:val="16"/>
                        </w:rPr>
                      </w:pPr>
                    </w:p>
                    <w:p w14:paraId="455EA70E" w14:textId="77777777" w:rsidR="007D0459" w:rsidRPr="009E208F" w:rsidRDefault="007D0459" w:rsidP="007D0459">
                      <w:pPr>
                        <w:rPr>
                          <w:i/>
                          <w:iCs/>
                          <w:sz w:val="16"/>
                          <w:szCs w:val="16"/>
                        </w:rPr>
                      </w:pPr>
                      <w:r>
                        <w:rPr>
                          <w:i/>
                          <w:iCs/>
                          <w:sz w:val="16"/>
                          <w:szCs w:val="16"/>
                        </w:rPr>
                        <w:t xml:space="preserve">. </w:t>
                      </w:r>
                    </w:p>
                  </w:txbxContent>
                </v:textbox>
                <w10:wrap type="square" anchorx="margin" anchory="page"/>
              </v:shape>
            </w:pict>
          </mc:Fallback>
        </mc:AlternateContent>
      </w:r>
    </w:p>
    <w:p w14:paraId="02C82242" w14:textId="77777777" w:rsidR="00E75B40" w:rsidRPr="00E75B40" w:rsidRDefault="00E75B40" w:rsidP="00E75B40">
      <w:pPr>
        <w:keepNext/>
        <w:keepLines/>
        <w:spacing w:before="160" w:after="80" w:line="259" w:lineRule="auto"/>
        <w:outlineLvl w:val="1"/>
        <w:rPr>
          <w:rFonts w:ascii="Times New Roman" w:eastAsia="Yu Gothic Light" w:hAnsi="Times New Roman" w:cs="Times New Roman"/>
          <w:b/>
          <w:bCs/>
          <w:color w:val="002060"/>
          <w:kern w:val="2"/>
          <w:sz w:val="28"/>
          <w:szCs w:val="28"/>
          <w14:ligatures w14:val="standardContextual"/>
        </w:rPr>
      </w:pPr>
      <w:bookmarkStart w:id="21" w:name="_Toc209356551"/>
      <w:r w:rsidRPr="00E75B40">
        <w:rPr>
          <w:rFonts w:ascii="Times New Roman" w:eastAsia="Yu Gothic Light" w:hAnsi="Times New Roman" w:cs="Times New Roman"/>
          <w:b/>
          <w:bCs/>
          <w:color w:val="002060"/>
          <w:kern w:val="2"/>
          <w:sz w:val="28"/>
          <w:szCs w:val="28"/>
          <w14:ligatures w14:val="standardContextual"/>
        </w:rPr>
        <w:lastRenderedPageBreak/>
        <w:t>Top Denied Procedures and Drugs</w:t>
      </w:r>
      <w:bookmarkEnd w:id="21"/>
      <w:r w:rsidRPr="00E75B40">
        <w:rPr>
          <w:rFonts w:ascii="Times New Roman" w:eastAsia="Yu Gothic Light" w:hAnsi="Times New Roman" w:cs="Times New Roman"/>
          <w:b/>
          <w:bCs/>
          <w:color w:val="002060"/>
          <w:kern w:val="2"/>
          <w:sz w:val="28"/>
          <w:szCs w:val="28"/>
          <w14:ligatures w14:val="standardContextual"/>
        </w:rPr>
        <w:t xml:space="preserve"> </w:t>
      </w:r>
    </w:p>
    <w:p w14:paraId="790AF91E"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Insurers provided the top denied and approved services.</w:t>
      </w:r>
    </w:p>
    <w:p w14:paraId="3503E378" w14:textId="77777777" w:rsidR="007D0459" w:rsidRPr="007D0459" w:rsidRDefault="007D0459" w:rsidP="007D0459">
      <w:pPr>
        <w:rPr>
          <w:rFonts w:ascii="Times New Roman" w:hAnsi="Times New Roman" w:cs="Times New Roman"/>
          <w:b/>
        </w:rPr>
      </w:pPr>
      <w:r w:rsidRPr="007D0459">
        <w:rPr>
          <w:rFonts w:ascii="Times New Roman" w:hAnsi="Times New Roman" w:cs="Times New Roman"/>
        </w:rPr>
        <w:t xml:space="preserve">The services below are aggregated across all health insurers in the fully insured market to show the most frequently denied services in the New Mexico in calendar year 2023.  </w:t>
      </w:r>
      <w:proofErr w:type="gramStart"/>
      <w:r w:rsidRPr="007D0459">
        <w:rPr>
          <w:rFonts w:ascii="Times New Roman" w:hAnsi="Times New Roman" w:cs="Times New Roman"/>
        </w:rPr>
        <w:t>The majority of</w:t>
      </w:r>
      <w:proofErr w:type="gramEnd"/>
      <w:r w:rsidRPr="007D0459">
        <w:rPr>
          <w:rFonts w:ascii="Times New Roman" w:hAnsi="Times New Roman" w:cs="Times New Roman"/>
        </w:rPr>
        <w:t xml:space="preserve"> denials for medical services </w:t>
      </w:r>
      <w:r w:rsidRPr="007D0459">
        <w:rPr>
          <w:rFonts w:ascii="Times New Roman" w:hAnsi="Times New Roman" w:cs="Times New Roman"/>
          <w:b/>
        </w:rPr>
        <w:t xml:space="preserve">were due to Insufficient Evidence of Medical Necessity (Table 5). </w:t>
      </w:r>
    </w:p>
    <w:p w14:paraId="713A37E6" w14:textId="77777777" w:rsidR="007D0459" w:rsidRPr="007D0459" w:rsidRDefault="007D0459" w:rsidP="007D0459">
      <w:pPr>
        <w:rPr>
          <w:rFonts w:ascii="Times New Roman" w:hAnsi="Times New Roman" w:cs="Times New Roman"/>
        </w:rPr>
      </w:pPr>
      <w:r w:rsidRPr="007D0459">
        <w:rPr>
          <w:rFonts w:ascii="Times New Roman" w:hAnsi="Times New Roman" w:cs="Times New Roman"/>
          <w:b/>
          <w:i/>
        </w:rPr>
        <w:t>Table 5: Medical services with the highest volume of prior authorization denials</w:t>
      </w:r>
    </w:p>
    <w:tbl>
      <w:tblPr>
        <w:tblW w:w="7818" w:type="dxa"/>
        <w:tblInd w:w="-5" w:type="dxa"/>
        <w:tblLook w:val="04A0" w:firstRow="1" w:lastRow="0" w:firstColumn="1" w:lastColumn="0" w:noHBand="0" w:noVBand="1"/>
      </w:tblPr>
      <w:tblGrid>
        <w:gridCol w:w="1012"/>
        <w:gridCol w:w="6806"/>
      </w:tblGrid>
      <w:tr w:rsidR="00E75B40" w:rsidRPr="00694B6F" w14:paraId="377CE53F" w14:textId="77777777" w:rsidTr="00187DE3">
        <w:trPr>
          <w:trHeight w:val="270"/>
        </w:trPr>
        <w:tc>
          <w:tcPr>
            <w:tcW w:w="1012"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34923B48" w14:textId="77777777" w:rsidR="00E75B40" w:rsidRPr="00A726B3" w:rsidRDefault="00E75B40" w:rsidP="00187DE3">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CPT Code</w:t>
            </w:r>
          </w:p>
        </w:tc>
        <w:tc>
          <w:tcPr>
            <w:tcW w:w="6806"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8F91A90" w14:textId="77777777" w:rsidR="00E75B40" w:rsidRPr="00A726B3" w:rsidRDefault="00E75B40" w:rsidP="00187DE3">
            <w:pPr>
              <w:spacing w:after="0" w:line="240" w:lineRule="auto"/>
              <w:jc w:val="center"/>
              <w:rPr>
                <w:rFonts w:ascii="Times New Roman" w:eastAsia="Times New Roman" w:hAnsi="Times New Roman" w:cs="Times New Roman"/>
                <w:b/>
                <w:color w:val="000000"/>
              </w:rPr>
            </w:pPr>
            <w:r w:rsidRPr="00A726B3">
              <w:rPr>
                <w:rFonts w:ascii="Times New Roman" w:eastAsia="Times New Roman" w:hAnsi="Times New Roman" w:cs="Times New Roman"/>
                <w:b/>
                <w:color w:val="000000"/>
              </w:rPr>
              <w:t>Description</w:t>
            </w:r>
          </w:p>
        </w:tc>
      </w:tr>
      <w:tr w:rsidR="00E75B40" w:rsidRPr="00694B6F" w14:paraId="6F266226"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4D73810C"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72148</w:t>
            </w:r>
          </w:p>
        </w:tc>
        <w:tc>
          <w:tcPr>
            <w:tcW w:w="6806" w:type="dxa"/>
            <w:tcBorders>
              <w:top w:val="nil"/>
              <w:left w:val="nil"/>
              <w:bottom w:val="single" w:sz="4" w:space="0" w:color="auto"/>
              <w:right w:val="single" w:sz="4" w:space="0" w:color="auto"/>
            </w:tcBorders>
            <w:vAlign w:val="bottom"/>
            <w:hideMark/>
          </w:tcPr>
          <w:p w14:paraId="632A770F"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spinal canal and contents, lumbar; without contrast material</w:t>
            </w:r>
          </w:p>
        </w:tc>
      </w:tr>
      <w:tr w:rsidR="00E75B40" w:rsidRPr="00694B6F" w14:paraId="46ED866E" w14:textId="77777777" w:rsidTr="00D12177">
        <w:trPr>
          <w:trHeight w:val="270"/>
        </w:trPr>
        <w:tc>
          <w:tcPr>
            <w:tcW w:w="1012" w:type="dxa"/>
            <w:tcBorders>
              <w:top w:val="nil"/>
              <w:left w:val="single" w:sz="4" w:space="0" w:color="auto"/>
              <w:bottom w:val="single" w:sz="4" w:space="0" w:color="auto"/>
              <w:right w:val="single" w:sz="4" w:space="0" w:color="auto"/>
            </w:tcBorders>
            <w:noWrap/>
            <w:vAlign w:val="bottom"/>
            <w:hideMark/>
          </w:tcPr>
          <w:p w14:paraId="2E9034A1"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74176</w:t>
            </w:r>
          </w:p>
        </w:tc>
        <w:tc>
          <w:tcPr>
            <w:tcW w:w="6806" w:type="dxa"/>
            <w:tcBorders>
              <w:top w:val="nil"/>
              <w:left w:val="nil"/>
              <w:bottom w:val="single" w:sz="4" w:space="0" w:color="auto"/>
              <w:right w:val="single" w:sz="4" w:space="0" w:color="auto"/>
            </w:tcBorders>
            <w:vAlign w:val="bottom"/>
            <w:hideMark/>
          </w:tcPr>
          <w:p w14:paraId="6D3FE2D2"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Computed tomography, abdomen and pelvis; without contrast material</w:t>
            </w:r>
          </w:p>
        </w:tc>
      </w:tr>
      <w:tr w:rsidR="00E75B40" w:rsidRPr="00694B6F" w14:paraId="42ABEB32" w14:textId="77777777" w:rsidTr="00D12177">
        <w:trPr>
          <w:trHeight w:val="270"/>
        </w:trPr>
        <w:tc>
          <w:tcPr>
            <w:tcW w:w="1012" w:type="dxa"/>
            <w:tcBorders>
              <w:top w:val="nil"/>
              <w:left w:val="single" w:sz="4" w:space="0" w:color="auto"/>
              <w:bottom w:val="single" w:sz="4" w:space="0" w:color="auto"/>
              <w:right w:val="single" w:sz="4" w:space="0" w:color="auto"/>
            </w:tcBorders>
            <w:noWrap/>
            <w:vAlign w:val="bottom"/>
            <w:hideMark/>
          </w:tcPr>
          <w:p w14:paraId="214AF26B"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71250</w:t>
            </w:r>
          </w:p>
        </w:tc>
        <w:tc>
          <w:tcPr>
            <w:tcW w:w="6806" w:type="dxa"/>
            <w:tcBorders>
              <w:top w:val="nil"/>
              <w:left w:val="nil"/>
              <w:bottom w:val="single" w:sz="4" w:space="0" w:color="auto"/>
              <w:right w:val="single" w:sz="4" w:space="0" w:color="auto"/>
            </w:tcBorders>
            <w:vAlign w:val="bottom"/>
            <w:hideMark/>
          </w:tcPr>
          <w:p w14:paraId="5342BF26"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Computed tomography, thorax; without contrast material</w:t>
            </w:r>
          </w:p>
        </w:tc>
      </w:tr>
      <w:tr w:rsidR="00E75B40" w:rsidRPr="00694B6F" w14:paraId="4C42637F"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586AC790"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73221</w:t>
            </w:r>
          </w:p>
        </w:tc>
        <w:tc>
          <w:tcPr>
            <w:tcW w:w="6806" w:type="dxa"/>
            <w:tcBorders>
              <w:top w:val="nil"/>
              <w:left w:val="nil"/>
              <w:bottom w:val="single" w:sz="4" w:space="0" w:color="auto"/>
              <w:right w:val="single" w:sz="4" w:space="0" w:color="auto"/>
            </w:tcBorders>
            <w:vAlign w:val="bottom"/>
            <w:hideMark/>
          </w:tcPr>
          <w:p w14:paraId="1376B675"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any joint of upper extremity; without contrast material(s)</w:t>
            </w:r>
          </w:p>
        </w:tc>
      </w:tr>
      <w:tr w:rsidR="00E75B40" w:rsidRPr="00694B6F" w14:paraId="3A81DF41"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29EFD36F"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73720</w:t>
            </w:r>
          </w:p>
        </w:tc>
        <w:tc>
          <w:tcPr>
            <w:tcW w:w="6806" w:type="dxa"/>
            <w:tcBorders>
              <w:top w:val="nil"/>
              <w:left w:val="nil"/>
              <w:bottom w:val="single" w:sz="4" w:space="0" w:color="auto"/>
              <w:right w:val="single" w:sz="4" w:space="0" w:color="auto"/>
            </w:tcBorders>
            <w:vAlign w:val="bottom"/>
            <w:hideMark/>
          </w:tcPr>
          <w:p w14:paraId="708F0A0F"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lower extremity other than joint; without contrast material(s), followed by contrast material(s) and further sequences</w:t>
            </w:r>
          </w:p>
        </w:tc>
      </w:tr>
      <w:tr w:rsidR="00E75B40" w:rsidRPr="00694B6F" w14:paraId="48627F44"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235E998E"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72141</w:t>
            </w:r>
          </w:p>
        </w:tc>
        <w:tc>
          <w:tcPr>
            <w:tcW w:w="6806" w:type="dxa"/>
            <w:tcBorders>
              <w:top w:val="nil"/>
              <w:left w:val="nil"/>
              <w:bottom w:val="single" w:sz="4" w:space="0" w:color="auto"/>
              <w:right w:val="single" w:sz="4" w:space="0" w:color="auto"/>
            </w:tcBorders>
            <w:vAlign w:val="bottom"/>
            <w:hideMark/>
          </w:tcPr>
          <w:p w14:paraId="7F35A75C"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spinal canal and contents, cervical; without contrast material</w:t>
            </w:r>
          </w:p>
        </w:tc>
      </w:tr>
      <w:tr w:rsidR="00E75B40" w:rsidRPr="00694B6F" w14:paraId="0DB16969"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05B91D83"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70551</w:t>
            </w:r>
          </w:p>
        </w:tc>
        <w:tc>
          <w:tcPr>
            <w:tcW w:w="6806" w:type="dxa"/>
            <w:tcBorders>
              <w:top w:val="nil"/>
              <w:left w:val="nil"/>
              <w:bottom w:val="single" w:sz="4" w:space="0" w:color="auto"/>
              <w:right w:val="single" w:sz="4" w:space="0" w:color="auto"/>
            </w:tcBorders>
            <w:vAlign w:val="bottom"/>
            <w:hideMark/>
          </w:tcPr>
          <w:p w14:paraId="29ADDAD8"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brain (including brain stem); without contrast material</w:t>
            </w:r>
          </w:p>
        </w:tc>
      </w:tr>
      <w:tr w:rsidR="00E75B40" w:rsidRPr="00694B6F" w14:paraId="613B44B5" w14:textId="77777777" w:rsidTr="00D12177">
        <w:trPr>
          <w:trHeight w:val="541"/>
        </w:trPr>
        <w:tc>
          <w:tcPr>
            <w:tcW w:w="1012" w:type="dxa"/>
            <w:tcBorders>
              <w:top w:val="nil"/>
              <w:left w:val="single" w:sz="4" w:space="0" w:color="auto"/>
              <w:bottom w:val="single" w:sz="4" w:space="0" w:color="auto"/>
              <w:right w:val="single" w:sz="4" w:space="0" w:color="auto"/>
            </w:tcBorders>
            <w:noWrap/>
            <w:vAlign w:val="bottom"/>
            <w:hideMark/>
          </w:tcPr>
          <w:p w14:paraId="6A25ABEC"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75571</w:t>
            </w:r>
          </w:p>
        </w:tc>
        <w:tc>
          <w:tcPr>
            <w:tcW w:w="6806" w:type="dxa"/>
            <w:tcBorders>
              <w:top w:val="nil"/>
              <w:left w:val="nil"/>
              <w:bottom w:val="single" w:sz="4" w:space="0" w:color="auto"/>
              <w:right w:val="single" w:sz="4" w:space="0" w:color="auto"/>
            </w:tcBorders>
            <w:vAlign w:val="bottom"/>
            <w:hideMark/>
          </w:tcPr>
          <w:p w14:paraId="42416137"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Computed tomography, heart, without contrast material, with quantitative evaluation of coronary calcium</w:t>
            </w:r>
          </w:p>
        </w:tc>
      </w:tr>
      <w:tr w:rsidR="00E75B40" w:rsidRPr="00694B6F" w14:paraId="1298981C" w14:textId="77777777" w:rsidTr="00D12177">
        <w:trPr>
          <w:trHeight w:val="270"/>
        </w:trPr>
        <w:tc>
          <w:tcPr>
            <w:tcW w:w="1012" w:type="dxa"/>
            <w:tcBorders>
              <w:top w:val="nil"/>
              <w:left w:val="single" w:sz="4" w:space="0" w:color="auto"/>
              <w:bottom w:val="single" w:sz="4" w:space="0" w:color="auto"/>
              <w:right w:val="single" w:sz="4" w:space="0" w:color="auto"/>
            </w:tcBorders>
            <w:noWrap/>
            <w:vAlign w:val="bottom"/>
            <w:hideMark/>
          </w:tcPr>
          <w:p w14:paraId="39C7C9C4"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73721</w:t>
            </w:r>
          </w:p>
        </w:tc>
        <w:tc>
          <w:tcPr>
            <w:tcW w:w="6806" w:type="dxa"/>
            <w:tcBorders>
              <w:top w:val="nil"/>
              <w:left w:val="nil"/>
              <w:bottom w:val="single" w:sz="4" w:space="0" w:color="auto"/>
              <w:right w:val="single" w:sz="4" w:space="0" w:color="auto"/>
            </w:tcBorders>
            <w:vAlign w:val="bottom"/>
            <w:hideMark/>
          </w:tcPr>
          <w:p w14:paraId="40944144"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Magnetic resonance (e.g., proton) imaging, any joint of lower extremity</w:t>
            </w:r>
          </w:p>
        </w:tc>
      </w:tr>
      <w:tr w:rsidR="00E75B40" w:rsidRPr="00694B6F" w14:paraId="6A358F8C" w14:textId="77777777" w:rsidTr="00D12177">
        <w:trPr>
          <w:trHeight w:val="270"/>
        </w:trPr>
        <w:tc>
          <w:tcPr>
            <w:tcW w:w="1012" w:type="dxa"/>
            <w:tcBorders>
              <w:top w:val="nil"/>
              <w:left w:val="single" w:sz="4" w:space="0" w:color="auto"/>
              <w:bottom w:val="single" w:sz="4" w:space="0" w:color="auto"/>
              <w:right w:val="single" w:sz="4" w:space="0" w:color="auto"/>
            </w:tcBorders>
            <w:noWrap/>
            <w:vAlign w:val="bottom"/>
            <w:hideMark/>
          </w:tcPr>
          <w:p w14:paraId="03102BD0" w14:textId="77777777" w:rsidR="00E75B40" w:rsidRPr="00376C3C" w:rsidRDefault="00E75B40" w:rsidP="00D12177">
            <w:pPr>
              <w:spacing w:after="0" w:line="240" w:lineRule="auto"/>
              <w:jc w:val="center"/>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70486</w:t>
            </w:r>
          </w:p>
        </w:tc>
        <w:tc>
          <w:tcPr>
            <w:tcW w:w="6806" w:type="dxa"/>
            <w:tcBorders>
              <w:top w:val="nil"/>
              <w:left w:val="nil"/>
              <w:bottom w:val="single" w:sz="4" w:space="0" w:color="auto"/>
              <w:right w:val="single" w:sz="4" w:space="0" w:color="auto"/>
            </w:tcBorders>
            <w:vAlign w:val="bottom"/>
            <w:hideMark/>
          </w:tcPr>
          <w:p w14:paraId="1E6D8289" w14:textId="77777777" w:rsidR="00E75B40" w:rsidRPr="00376C3C" w:rsidRDefault="00E75B40" w:rsidP="00D12177">
            <w:pPr>
              <w:spacing w:after="0" w:line="240" w:lineRule="auto"/>
              <w:rPr>
                <w:rFonts w:ascii="Times New Roman" w:eastAsia="Times New Roman" w:hAnsi="Times New Roman" w:cs="Times New Roman"/>
                <w:color w:val="000000"/>
                <w:sz w:val="20"/>
                <w:szCs w:val="20"/>
              </w:rPr>
            </w:pPr>
            <w:r w:rsidRPr="00376C3C">
              <w:rPr>
                <w:rFonts w:ascii="Times New Roman" w:eastAsia="Times New Roman" w:hAnsi="Times New Roman" w:cs="Times New Roman"/>
                <w:color w:val="000000"/>
                <w:sz w:val="20"/>
                <w:szCs w:val="20"/>
              </w:rPr>
              <w:t>Computed tomography, maxillofacial area; without contrast material</w:t>
            </w:r>
          </w:p>
        </w:tc>
      </w:tr>
    </w:tbl>
    <w:p w14:paraId="3091AC2C" w14:textId="77777777" w:rsidR="007D0459" w:rsidRPr="007D0459" w:rsidRDefault="007D0459" w:rsidP="007D0459">
      <w:pPr>
        <w:rPr>
          <w:rFonts w:ascii="Times New Roman" w:hAnsi="Times New Roman" w:cs="Times New Roman"/>
        </w:rPr>
      </w:pPr>
    </w:p>
    <w:p w14:paraId="5F86EE6C" w14:textId="77777777" w:rsidR="007D0459" w:rsidRPr="007D0459" w:rsidRDefault="007D0459" w:rsidP="007D0459">
      <w:pPr>
        <w:rPr>
          <w:rFonts w:ascii="Times New Roman" w:hAnsi="Times New Roman" w:cs="Times New Roman"/>
          <w:b/>
          <w:i/>
        </w:rPr>
      </w:pPr>
      <w:r w:rsidRPr="007D0459">
        <w:rPr>
          <w:rFonts w:ascii="Times New Roman" w:hAnsi="Times New Roman" w:cs="Times New Roman"/>
        </w:rPr>
        <w:t xml:space="preserve">The </w:t>
      </w:r>
      <w:proofErr w:type="gramStart"/>
      <w:r w:rsidRPr="007D0459">
        <w:rPr>
          <w:rFonts w:ascii="Times New Roman" w:hAnsi="Times New Roman" w:cs="Times New Roman"/>
        </w:rPr>
        <w:t>most commonly denied</w:t>
      </w:r>
      <w:proofErr w:type="gramEnd"/>
      <w:r w:rsidRPr="007D0459">
        <w:rPr>
          <w:rFonts w:ascii="Times New Roman" w:hAnsi="Times New Roman" w:cs="Times New Roman"/>
        </w:rPr>
        <w:t xml:space="preserve"> drugs in pharmacy services were prescribed for obesity and diabetes (Ozempic, </w:t>
      </w:r>
      <w:proofErr w:type="spellStart"/>
      <w:r w:rsidRPr="007D0459">
        <w:rPr>
          <w:rFonts w:ascii="Times New Roman" w:hAnsi="Times New Roman" w:cs="Times New Roman"/>
        </w:rPr>
        <w:t>Wegovy</w:t>
      </w:r>
      <w:proofErr w:type="spellEnd"/>
      <w:r w:rsidRPr="007D0459">
        <w:rPr>
          <w:rFonts w:ascii="Times New Roman" w:hAnsi="Times New Roman" w:cs="Times New Roman"/>
        </w:rPr>
        <w:t xml:space="preserve">, </w:t>
      </w:r>
      <w:proofErr w:type="spellStart"/>
      <w:r w:rsidRPr="007D0459">
        <w:rPr>
          <w:rFonts w:ascii="Times New Roman" w:hAnsi="Times New Roman" w:cs="Times New Roman"/>
        </w:rPr>
        <w:t>Mounjaro</w:t>
      </w:r>
      <w:proofErr w:type="spellEnd"/>
      <w:r w:rsidRPr="007D0459">
        <w:rPr>
          <w:rFonts w:ascii="Times New Roman" w:hAnsi="Times New Roman" w:cs="Times New Roman"/>
        </w:rPr>
        <w:t>) Migraines (</w:t>
      </w:r>
      <w:proofErr w:type="spellStart"/>
      <w:r w:rsidRPr="007D0459">
        <w:rPr>
          <w:rFonts w:ascii="Times New Roman" w:hAnsi="Times New Roman" w:cs="Times New Roman"/>
        </w:rPr>
        <w:t>Nurtec</w:t>
      </w:r>
      <w:proofErr w:type="spellEnd"/>
      <w:r w:rsidRPr="007D0459">
        <w:rPr>
          <w:rFonts w:ascii="Times New Roman" w:hAnsi="Times New Roman" w:cs="Times New Roman"/>
        </w:rPr>
        <w:t>), early diagnosed skin cancer (Fluorouracil) and antifungals (Ciclopirox) (Table 6).</w:t>
      </w:r>
    </w:p>
    <w:p w14:paraId="5675884A" w14:textId="77777777" w:rsidR="007D0459" w:rsidRPr="007D0459" w:rsidRDefault="007D0459" w:rsidP="007D0459">
      <w:pPr>
        <w:rPr>
          <w:rFonts w:ascii="Times New Roman" w:hAnsi="Times New Roman" w:cs="Times New Roman"/>
        </w:rPr>
      </w:pPr>
      <w:r w:rsidRPr="007D0459">
        <w:rPr>
          <w:rFonts w:ascii="Times New Roman" w:hAnsi="Times New Roman" w:cs="Times New Roman"/>
          <w:b/>
          <w:i/>
        </w:rPr>
        <w:t>Table 6: Prescription Drug services with the highest volume of prior authorization denials</w:t>
      </w:r>
    </w:p>
    <w:tbl>
      <w:tblPr>
        <w:tblStyle w:val="TableGrid"/>
        <w:tblW w:w="0" w:type="auto"/>
        <w:tblLook w:val="04A0" w:firstRow="1" w:lastRow="0" w:firstColumn="1" w:lastColumn="0" w:noHBand="0" w:noVBand="1"/>
      </w:tblPr>
      <w:tblGrid>
        <w:gridCol w:w="8853"/>
      </w:tblGrid>
      <w:tr w:rsidR="00E75B40" w:rsidRPr="001969E4" w14:paraId="32F07C88" w14:textId="77777777" w:rsidTr="00D12177">
        <w:trPr>
          <w:trHeight w:val="270"/>
        </w:trPr>
        <w:tc>
          <w:tcPr>
            <w:tcW w:w="8853" w:type="dxa"/>
            <w:noWrap/>
            <w:hideMark/>
          </w:tcPr>
          <w:p w14:paraId="66BE708B" w14:textId="77777777" w:rsidR="00E75B40" w:rsidRPr="00A726B3" w:rsidRDefault="00E75B40" w:rsidP="00D12177">
            <w:pPr>
              <w:rPr>
                <w:rFonts w:ascii="Times New Roman" w:hAnsi="Times New Roman" w:cs="Times New Roman"/>
                <w:b/>
              </w:rPr>
            </w:pPr>
            <w:r w:rsidRPr="00A726B3">
              <w:rPr>
                <w:rFonts w:ascii="Times New Roman" w:hAnsi="Times New Roman" w:cs="Times New Roman"/>
                <w:b/>
              </w:rPr>
              <w:t>Drug Name</w:t>
            </w:r>
          </w:p>
        </w:tc>
      </w:tr>
      <w:tr w:rsidR="00E75B40" w:rsidRPr="001969E4" w14:paraId="7336CE55" w14:textId="77777777" w:rsidTr="00D12177">
        <w:trPr>
          <w:trHeight w:val="257"/>
        </w:trPr>
        <w:tc>
          <w:tcPr>
            <w:tcW w:w="8853" w:type="dxa"/>
            <w:noWrap/>
            <w:hideMark/>
          </w:tcPr>
          <w:p w14:paraId="4EE646CC"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OZEMPIC 0.25-0.5 MG/DOSE PEN</w:t>
            </w:r>
          </w:p>
        </w:tc>
      </w:tr>
      <w:tr w:rsidR="00E75B40" w:rsidRPr="001969E4" w14:paraId="6178F6B0" w14:textId="77777777" w:rsidTr="00D12177">
        <w:trPr>
          <w:trHeight w:val="257"/>
        </w:trPr>
        <w:tc>
          <w:tcPr>
            <w:tcW w:w="8853" w:type="dxa"/>
            <w:noWrap/>
            <w:hideMark/>
          </w:tcPr>
          <w:p w14:paraId="189684FF"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WEGOVY 0.25 MG/0.5 ML PEN</w:t>
            </w:r>
          </w:p>
        </w:tc>
      </w:tr>
      <w:tr w:rsidR="00E75B40" w:rsidRPr="001969E4" w14:paraId="2C9106C8" w14:textId="77777777" w:rsidTr="00D12177">
        <w:trPr>
          <w:trHeight w:val="257"/>
        </w:trPr>
        <w:tc>
          <w:tcPr>
            <w:tcW w:w="8853" w:type="dxa"/>
            <w:noWrap/>
            <w:hideMark/>
          </w:tcPr>
          <w:p w14:paraId="789CA5C9"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DEXCOM G6 SENSOR</w:t>
            </w:r>
          </w:p>
        </w:tc>
      </w:tr>
      <w:tr w:rsidR="00E75B40" w:rsidRPr="001969E4" w14:paraId="5D962046" w14:textId="77777777" w:rsidTr="00D12177">
        <w:trPr>
          <w:trHeight w:val="257"/>
        </w:trPr>
        <w:tc>
          <w:tcPr>
            <w:tcW w:w="8853" w:type="dxa"/>
            <w:noWrap/>
            <w:hideMark/>
          </w:tcPr>
          <w:p w14:paraId="52BDFCBF"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NURTEC ODT 75 MG TABLET</w:t>
            </w:r>
          </w:p>
        </w:tc>
      </w:tr>
      <w:tr w:rsidR="00E75B40" w:rsidRPr="001969E4" w14:paraId="1C0BCBF2" w14:textId="77777777" w:rsidTr="00D12177">
        <w:trPr>
          <w:trHeight w:val="257"/>
        </w:trPr>
        <w:tc>
          <w:tcPr>
            <w:tcW w:w="8853" w:type="dxa"/>
            <w:noWrap/>
            <w:hideMark/>
          </w:tcPr>
          <w:p w14:paraId="6361050E"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MOUNJARO 2.5 MG/0.5 ML PEN</w:t>
            </w:r>
          </w:p>
        </w:tc>
      </w:tr>
      <w:tr w:rsidR="00E75B40" w:rsidRPr="001969E4" w14:paraId="70F89D41" w14:textId="77777777" w:rsidTr="00D12177">
        <w:trPr>
          <w:trHeight w:val="257"/>
        </w:trPr>
        <w:tc>
          <w:tcPr>
            <w:tcW w:w="8853" w:type="dxa"/>
            <w:noWrap/>
            <w:hideMark/>
          </w:tcPr>
          <w:p w14:paraId="0B9BBEEF" w14:textId="2441109E" w:rsidR="00E75B40" w:rsidRPr="00376C3C" w:rsidRDefault="0094509E" w:rsidP="00D12177">
            <w:pPr>
              <w:rPr>
                <w:rFonts w:ascii="Times New Roman" w:hAnsi="Times New Roman" w:cs="Times New Roman"/>
                <w:sz w:val="20"/>
                <w:szCs w:val="20"/>
              </w:rPr>
            </w:pPr>
            <w:r>
              <w:rPr>
                <w:rFonts w:ascii="Times New Roman" w:hAnsi="Times New Roman" w:cs="Times New Roman"/>
                <w:sz w:val="20"/>
                <w:szCs w:val="20"/>
              </w:rPr>
              <w:t>Fl</w:t>
            </w:r>
            <w:r w:rsidR="00FF730F">
              <w:rPr>
                <w:rFonts w:ascii="Times New Roman" w:hAnsi="Times New Roman" w:cs="Times New Roman"/>
                <w:sz w:val="20"/>
                <w:szCs w:val="20"/>
              </w:rPr>
              <w:t>uoro</w:t>
            </w:r>
            <w:r>
              <w:rPr>
                <w:rFonts w:ascii="Times New Roman" w:hAnsi="Times New Roman" w:cs="Times New Roman"/>
                <w:sz w:val="20"/>
                <w:szCs w:val="20"/>
              </w:rPr>
              <w:t>uracil</w:t>
            </w:r>
          </w:p>
        </w:tc>
      </w:tr>
      <w:tr w:rsidR="00E75B40" w:rsidRPr="001969E4" w14:paraId="331DA2BF" w14:textId="77777777" w:rsidTr="00D12177">
        <w:trPr>
          <w:trHeight w:val="257"/>
        </w:trPr>
        <w:tc>
          <w:tcPr>
            <w:tcW w:w="8853" w:type="dxa"/>
            <w:noWrap/>
            <w:hideMark/>
          </w:tcPr>
          <w:p w14:paraId="0CB5BCEE"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MOUNJARO 5 MG/0.5 ML PEN</w:t>
            </w:r>
          </w:p>
        </w:tc>
      </w:tr>
      <w:tr w:rsidR="00E75B40" w:rsidRPr="001969E4" w14:paraId="7E3D74CE" w14:textId="77777777" w:rsidTr="00D12177">
        <w:trPr>
          <w:trHeight w:val="257"/>
        </w:trPr>
        <w:tc>
          <w:tcPr>
            <w:tcW w:w="8853" w:type="dxa"/>
            <w:noWrap/>
            <w:hideMark/>
          </w:tcPr>
          <w:p w14:paraId="12F93A47" w14:textId="77777777" w:rsidR="00E75B40" w:rsidRPr="00376C3C" w:rsidRDefault="00E75B40" w:rsidP="00D12177">
            <w:pPr>
              <w:rPr>
                <w:rFonts w:ascii="Times New Roman" w:hAnsi="Times New Roman" w:cs="Times New Roman"/>
                <w:sz w:val="20"/>
                <w:szCs w:val="20"/>
              </w:rPr>
            </w:pPr>
            <w:r w:rsidRPr="00376C3C">
              <w:rPr>
                <w:rFonts w:ascii="Times New Roman" w:hAnsi="Times New Roman" w:cs="Times New Roman"/>
                <w:sz w:val="20"/>
                <w:szCs w:val="20"/>
              </w:rPr>
              <w:t>Ciclopirox</w:t>
            </w:r>
          </w:p>
        </w:tc>
      </w:tr>
    </w:tbl>
    <w:p w14:paraId="1639AAB2" w14:textId="77777777" w:rsidR="007D0459" w:rsidRDefault="007D0459" w:rsidP="007D0459">
      <w:pPr>
        <w:rPr>
          <w:rFonts w:ascii="Times New Roman" w:hAnsi="Times New Roman" w:cs="Times New Roman"/>
        </w:rPr>
      </w:pPr>
    </w:p>
    <w:p w14:paraId="23764E3F" w14:textId="77777777" w:rsidR="00E75B40" w:rsidRPr="007D0459" w:rsidRDefault="00E75B40" w:rsidP="007D0459">
      <w:pPr>
        <w:rPr>
          <w:rFonts w:ascii="Times New Roman" w:hAnsi="Times New Roman" w:cs="Times New Roman"/>
        </w:rPr>
      </w:pPr>
    </w:p>
    <w:p w14:paraId="3E5F7AB1" w14:textId="77777777" w:rsidR="00E75B40" w:rsidRPr="00E75B40" w:rsidRDefault="00E75B40" w:rsidP="00187DE3">
      <w:pPr>
        <w:keepNext/>
        <w:keepLines/>
        <w:spacing w:before="360" w:line="259" w:lineRule="auto"/>
        <w:outlineLvl w:val="0"/>
        <w:rPr>
          <w:rFonts w:ascii="Times New Roman" w:eastAsia="Yu Gothic Light" w:hAnsi="Times New Roman" w:cs="Times New Roman"/>
          <w:b/>
          <w:bCs/>
          <w:color w:val="002060"/>
          <w:kern w:val="2"/>
          <w:sz w:val="28"/>
          <w:szCs w:val="28"/>
          <w14:ligatures w14:val="standardContextual"/>
        </w:rPr>
      </w:pPr>
      <w:bookmarkStart w:id="22" w:name="_Toc201848823"/>
      <w:bookmarkStart w:id="23" w:name="_Toc209356552"/>
      <w:r w:rsidRPr="00E75B40">
        <w:rPr>
          <w:rFonts w:ascii="Times New Roman" w:eastAsia="Yu Gothic Light" w:hAnsi="Times New Roman" w:cs="Times New Roman"/>
          <w:b/>
          <w:bCs/>
          <w:color w:val="002060"/>
          <w:kern w:val="2"/>
          <w:sz w:val="28"/>
          <w:szCs w:val="28"/>
          <w14:ligatures w14:val="standardContextual"/>
        </w:rPr>
        <w:lastRenderedPageBreak/>
        <w:t>Report Summary</w:t>
      </w:r>
      <w:bookmarkEnd w:id="22"/>
      <w:bookmarkEnd w:id="23"/>
    </w:p>
    <w:p w14:paraId="2C65B0E1" w14:textId="77777777" w:rsidR="007D0459" w:rsidRPr="007D0459" w:rsidRDefault="007D0459" w:rsidP="007D0459">
      <w:pPr>
        <w:rPr>
          <w:rFonts w:ascii="Times New Roman" w:hAnsi="Times New Roman" w:cs="Times New Roman"/>
          <w:b/>
        </w:rPr>
      </w:pPr>
      <w:r w:rsidRPr="007D0459">
        <w:rPr>
          <w:rFonts w:ascii="Times New Roman" w:hAnsi="Times New Roman" w:cs="Times New Roman"/>
        </w:rPr>
        <w:t>Prior Authorization requirements were standardized, and consumer protections were strengthened in Senate Bill 188 that was passed into law in 2019 and were incorporated into the New Mexico Insurance Code (</w:t>
      </w:r>
      <w:r w:rsidRPr="007D0459">
        <w:rPr>
          <w:rFonts w:ascii="Times New Roman" w:hAnsi="Times New Roman" w:cs="Times New Roman"/>
          <w:b/>
        </w:rPr>
        <w:t>Chapter 59A - Insurance Code; Article 22B - Prior Authorization Section 59A-22B-5 - Prior authorization requirements.)</w:t>
      </w:r>
    </w:p>
    <w:p w14:paraId="543F853F"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This report helps New Mexico consumers better understand how health insurance companies handle prior authorization. It includes side-by-side comparisons of key data from 2023—like how often medical and pharmacy requests were denied, and how quickly insurers responded.</w:t>
      </w:r>
    </w:p>
    <w:p w14:paraId="23E7B61A"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The report focuses on health plans in the individual, small group, and large group markets that are fully insured and regulated by the Office of Superintendent of Insurance (OSI).</w:t>
      </w:r>
    </w:p>
    <w:p w14:paraId="0B41D2B9"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While this report doesn’t include data from Medicaid plans or IBAC plans (which cover state employees, public school staff, and retirees), OSI does collect that information and makes it available on its website.</w:t>
      </w:r>
    </w:p>
    <w:p w14:paraId="773DBD6C"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All health plans in New Mexico must follow state laws that protect consumers by:</w:t>
      </w:r>
    </w:p>
    <w:p w14:paraId="1698DD9C" w14:textId="77777777" w:rsidR="007D0459" w:rsidRPr="007D0459" w:rsidRDefault="007D0459" w:rsidP="00E75B40">
      <w:pPr>
        <w:numPr>
          <w:ilvl w:val="0"/>
          <w:numId w:val="26"/>
        </w:numPr>
        <w:spacing w:after="80"/>
        <w:rPr>
          <w:rFonts w:ascii="Times New Roman" w:hAnsi="Times New Roman" w:cs="Times New Roman"/>
        </w:rPr>
      </w:pPr>
      <w:r w:rsidRPr="007D0459">
        <w:rPr>
          <w:rFonts w:ascii="Times New Roman" w:hAnsi="Times New Roman" w:cs="Times New Roman"/>
        </w:rPr>
        <w:t>Requiring timely decisions on prior authorization requests</w:t>
      </w:r>
    </w:p>
    <w:p w14:paraId="017A6971" w14:textId="77777777" w:rsidR="007D0459" w:rsidRPr="007D0459" w:rsidRDefault="007D0459" w:rsidP="00E75B40">
      <w:pPr>
        <w:numPr>
          <w:ilvl w:val="0"/>
          <w:numId w:val="26"/>
        </w:numPr>
        <w:spacing w:after="80"/>
        <w:rPr>
          <w:rFonts w:ascii="Times New Roman" w:hAnsi="Times New Roman" w:cs="Times New Roman"/>
        </w:rPr>
      </w:pPr>
      <w:r w:rsidRPr="007D0459">
        <w:rPr>
          <w:rFonts w:ascii="Times New Roman" w:hAnsi="Times New Roman" w:cs="Times New Roman"/>
        </w:rPr>
        <w:t>Reducing delays in care</w:t>
      </w:r>
    </w:p>
    <w:p w14:paraId="502BB744" w14:textId="77777777" w:rsidR="007D0459" w:rsidRPr="007D0459" w:rsidRDefault="007D0459" w:rsidP="007D0459">
      <w:pPr>
        <w:numPr>
          <w:ilvl w:val="0"/>
          <w:numId w:val="26"/>
        </w:numPr>
        <w:rPr>
          <w:rFonts w:ascii="Times New Roman" w:hAnsi="Times New Roman" w:cs="Times New Roman"/>
        </w:rPr>
      </w:pPr>
      <w:r w:rsidRPr="007D0459">
        <w:rPr>
          <w:rFonts w:ascii="Times New Roman" w:hAnsi="Times New Roman" w:cs="Times New Roman"/>
        </w:rPr>
        <w:t>Making the approval process more transparent</w:t>
      </w:r>
    </w:p>
    <w:p w14:paraId="382293C8" w14:textId="77777777" w:rsidR="007D0459" w:rsidRDefault="007D0459" w:rsidP="007D0459">
      <w:pPr>
        <w:rPr>
          <w:rFonts w:ascii="Times New Roman" w:hAnsi="Times New Roman" w:cs="Times New Roman"/>
        </w:rPr>
      </w:pPr>
      <w:r w:rsidRPr="007D0459">
        <w:rPr>
          <w:rFonts w:ascii="Times New Roman" w:hAnsi="Times New Roman" w:cs="Times New Roman"/>
        </w:rPr>
        <w:t>If your request is denied or not answered within the required timeframe, you have the right to file a complaint. Keep in mind that different types of plans are overseen by different regulatory agencies.</w:t>
      </w:r>
    </w:p>
    <w:p w14:paraId="0EC12D23" w14:textId="66378164" w:rsidR="00600AF4" w:rsidRPr="00600AF4" w:rsidRDefault="00600AF4" w:rsidP="007D0459">
      <w:pPr>
        <w:rPr>
          <w:rFonts w:ascii="Times New Roman" w:hAnsi="Times New Roman" w:cs="Times New Roman"/>
          <w:b/>
          <w:bCs/>
        </w:rPr>
      </w:pPr>
      <w:r w:rsidRPr="00600AF4">
        <w:rPr>
          <w:rFonts w:ascii="Times New Roman" w:hAnsi="Times New Roman" w:cs="Times New Roman"/>
          <w:b/>
          <w:bCs/>
        </w:rPr>
        <w:t>For questions regarding this report, email us at life.health@osi.nm.gov.</w:t>
      </w:r>
    </w:p>
    <w:p w14:paraId="218C2A10" w14:textId="4E720844"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The </w:t>
      </w:r>
      <w:r w:rsidRPr="007D0459">
        <w:rPr>
          <w:rFonts w:ascii="Times New Roman" w:hAnsi="Times New Roman" w:cs="Times New Roman"/>
          <w:b/>
        </w:rPr>
        <w:t>Office of Superintendent of Insurance (OSI)</w:t>
      </w:r>
      <w:r w:rsidRPr="007D0459">
        <w:rPr>
          <w:rFonts w:ascii="Times New Roman" w:hAnsi="Times New Roman" w:cs="Times New Roman"/>
        </w:rPr>
        <w:t xml:space="preserve"> </w:t>
      </w:r>
      <w:r w:rsidRPr="00E81D75">
        <w:rPr>
          <w:rFonts w:ascii="Times New Roman" w:hAnsi="Times New Roman" w:cs="Times New Roman"/>
        </w:rPr>
        <w:t>regulates</w:t>
      </w:r>
      <w:r w:rsidR="00E81D75" w:rsidRPr="00E81D75">
        <w:rPr>
          <w:rFonts w:ascii="Times New Roman" w:hAnsi="Times New Roman" w:cs="Times New Roman"/>
        </w:rPr>
        <w:t xml:space="preserve"> individual, small, and large group managed care plans</w:t>
      </w:r>
      <w:r w:rsidRPr="007D0459">
        <w:rPr>
          <w:rFonts w:ascii="Times New Roman" w:hAnsi="Times New Roman" w:cs="Times New Roman"/>
        </w:rPr>
        <w:t xml:space="preserve"> in New Mexico. To file a complaint, contact OSI at </w:t>
      </w:r>
      <w:r w:rsidRPr="007D0459">
        <w:rPr>
          <w:rFonts w:ascii="Times New Roman" w:hAnsi="Times New Roman" w:cs="Times New Roman"/>
          <w:b/>
        </w:rPr>
        <w:t>1-855-427-5674</w:t>
      </w:r>
      <w:r w:rsidRPr="007D0459">
        <w:rPr>
          <w:rFonts w:ascii="Times New Roman" w:hAnsi="Times New Roman" w:cs="Times New Roman"/>
        </w:rPr>
        <w:t xml:space="preserve"> or </w:t>
      </w:r>
      <w:r w:rsidRPr="007D0459">
        <w:rPr>
          <w:rFonts w:ascii="Times New Roman" w:hAnsi="Times New Roman" w:cs="Times New Roman"/>
          <w:b/>
        </w:rPr>
        <w:t>mhcb@osi.nm.gov</w:t>
      </w:r>
      <w:r w:rsidRPr="007D0459">
        <w:rPr>
          <w:rFonts w:ascii="Times New Roman" w:hAnsi="Times New Roman" w:cs="Times New Roman"/>
        </w:rPr>
        <w:t xml:space="preserve">, or visit </w:t>
      </w:r>
      <w:r w:rsidRPr="007D0459">
        <w:rPr>
          <w:rFonts w:ascii="Times New Roman" w:hAnsi="Times New Roman" w:cs="Times New Roman"/>
          <w:b/>
        </w:rPr>
        <w:t>www.osi.state.nm.us</w:t>
      </w:r>
      <w:r w:rsidRPr="007D0459">
        <w:rPr>
          <w:rFonts w:ascii="Times New Roman" w:hAnsi="Times New Roman" w:cs="Times New Roman"/>
        </w:rPr>
        <w:t>.</w:t>
      </w:r>
    </w:p>
    <w:p w14:paraId="19366974" w14:textId="77777777" w:rsidR="007D0459" w:rsidRPr="007D0459" w:rsidRDefault="007D0459" w:rsidP="007D0459">
      <w:pPr>
        <w:rPr>
          <w:rFonts w:ascii="Times New Roman" w:hAnsi="Times New Roman" w:cs="Times New Roman"/>
        </w:rPr>
      </w:pPr>
      <w:r w:rsidRPr="007D0459">
        <w:rPr>
          <w:rFonts w:ascii="Times New Roman" w:hAnsi="Times New Roman" w:cs="Times New Roman"/>
        </w:rPr>
        <w:t xml:space="preserve">The </w:t>
      </w:r>
      <w:r w:rsidRPr="007D0459">
        <w:rPr>
          <w:rFonts w:ascii="Times New Roman" w:hAnsi="Times New Roman" w:cs="Times New Roman"/>
          <w:b/>
        </w:rPr>
        <w:t>Health Care Authority (HCA)</w:t>
      </w:r>
      <w:r w:rsidRPr="007D0459">
        <w:rPr>
          <w:rFonts w:ascii="Times New Roman" w:hAnsi="Times New Roman" w:cs="Times New Roman"/>
        </w:rPr>
        <w:t xml:space="preserve"> oversees all Medicaid managed care plans in New Mexico. To file a complaint, call </w:t>
      </w:r>
      <w:r w:rsidRPr="007D0459">
        <w:rPr>
          <w:rFonts w:ascii="Times New Roman" w:hAnsi="Times New Roman" w:cs="Times New Roman"/>
          <w:b/>
        </w:rPr>
        <w:t>1-888-997-2583</w:t>
      </w:r>
      <w:r w:rsidRPr="007D0459">
        <w:rPr>
          <w:rFonts w:ascii="Times New Roman" w:hAnsi="Times New Roman" w:cs="Times New Roman"/>
        </w:rPr>
        <w:t xml:space="preserve"> or visit </w:t>
      </w:r>
      <w:r w:rsidRPr="007D0459">
        <w:rPr>
          <w:rFonts w:ascii="Times New Roman" w:hAnsi="Times New Roman" w:cs="Times New Roman"/>
          <w:b/>
        </w:rPr>
        <w:t>www.hsd.state.nm.us</w:t>
      </w:r>
      <w:r w:rsidRPr="007D0459">
        <w:rPr>
          <w:rFonts w:ascii="Times New Roman" w:hAnsi="Times New Roman" w:cs="Times New Roman"/>
        </w:rPr>
        <w:t>.</w:t>
      </w:r>
    </w:p>
    <w:p w14:paraId="57783F1C" w14:textId="5DE54DB6" w:rsidR="007D0459" w:rsidRPr="007D0459" w:rsidRDefault="007D0459" w:rsidP="007D0459">
      <w:pPr>
        <w:rPr>
          <w:rFonts w:ascii="Times New Roman" w:hAnsi="Times New Roman" w:cs="Times New Roman"/>
        </w:rPr>
      </w:pPr>
      <w:r w:rsidRPr="007D0459">
        <w:rPr>
          <w:rFonts w:ascii="Times New Roman" w:hAnsi="Times New Roman" w:cs="Times New Roman"/>
        </w:rPr>
        <w:t>Group coverage, including any form of self-insurance, offered, issued or renewed under plans issued to the NM Retiree Health Care Authority, New Mexico Public School Insurance Authority</w:t>
      </w:r>
      <w:r w:rsidR="00627526">
        <w:rPr>
          <w:rFonts w:ascii="Times New Roman" w:hAnsi="Times New Roman" w:cs="Times New Roman"/>
        </w:rPr>
        <w:t xml:space="preserve">, </w:t>
      </w:r>
      <w:r w:rsidR="008A1701">
        <w:rPr>
          <w:rFonts w:ascii="Times New Roman" w:hAnsi="Times New Roman" w:cs="Times New Roman"/>
        </w:rPr>
        <w:t>Albuquerque Public Schools</w:t>
      </w:r>
      <w:r w:rsidR="00627526">
        <w:rPr>
          <w:rFonts w:ascii="Times New Roman" w:hAnsi="Times New Roman" w:cs="Times New Roman"/>
        </w:rPr>
        <w:t xml:space="preserve"> S</w:t>
      </w:r>
      <w:r w:rsidR="008A1701">
        <w:rPr>
          <w:rFonts w:ascii="Times New Roman" w:hAnsi="Times New Roman" w:cs="Times New Roman"/>
        </w:rPr>
        <w:t xml:space="preserve">tate </w:t>
      </w:r>
      <w:r w:rsidR="00627526">
        <w:rPr>
          <w:rFonts w:ascii="Times New Roman" w:hAnsi="Times New Roman" w:cs="Times New Roman"/>
        </w:rPr>
        <w:t>H</w:t>
      </w:r>
      <w:r w:rsidR="008A1701">
        <w:rPr>
          <w:rFonts w:ascii="Times New Roman" w:hAnsi="Times New Roman" w:cs="Times New Roman"/>
        </w:rPr>
        <w:t>ealth Benefits</w:t>
      </w:r>
      <w:r w:rsidRPr="007D0459">
        <w:rPr>
          <w:rFonts w:ascii="Times New Roman" w:hAnsi="Times New Roman" w:cs="Times New Roman"/>
        </w:rPr>
        <w:t xml:space="preserve"> and </w:t>
      </w:r>
      <w:r w:rsidR="00C46520">
        <w:rPr>
          <w:rFonts w:ascii="Times New Roman" w:hAnsi="Times New Roman" w:cs="Times New Roman"/>
        </w:rPr>
        <w:t>public e</w:t>
      </w:r>
      <w:r w:rsidRPr="007D0459">
        <w:rPr>
          <w:rFonts w:ascii="Times New Roman" w:hAnsi="Times New Roman" w:cs="Times New Roman"/>
        </w:rPr>
        <w:t xml:space="preserve">mployees, who are covered under the Health Care Purchasing Act, must follow the review process established by the entity providing their health care benefits first.  If their appeal is denied, they can file an external review with the Superintendent of Insurance. </w:t>
      </w:r>
    </w:p>
    <w:p w14:paraId="79961DDA" w14:textId="15FB2912" w:rsidR="00151FAF" w:rsidRPr="00151FAF" w:rsidRDefault="00151FAF" w:rsidP="004E5662">
      <w:pPr>
        <w:rPr>
          <w:rFonts w:ascii="Times New Roman" w:eastAsia="Times New Roman" w:hAnsi="Times New Roman" w:cs="Times New Roman"/>
        </w:rPr>
      </w:pPr>
      <w:r w:rsidRPr="00151FAF">
        <w:rPr>
          <w:rFonts w:ascii="Times New Roman" w:eastAsia="Times New Roman" w:hAnsi="Times New Roman" w:cs="Times New Roman"/>
          <w:b/>
          <w:bCs/>
          <w:sz w:val="24"/>
          <w:szCs w:val="24"/>
        </w:rPr>
        <w:t>About the Office of Superintendent of Insurance</w:t>
      </w:r>
      <w:r w:rsidRPr="00151FAF">
        <w:rPr>
          <w:rFonts w:ascii="Times New Roman" w:eastAsia="Times New Roman" w:hAnsi="Times New Roman" w:cs="Times New Roman"/>
          <w:sz w:val="24"/>
          <w:szCs w:val="24"/>
        </w:rPr>
        <w:br/>
      </w:r>
      <w:r w:rsidRPr="00151FAF">
        <w:rPr>
          <w:rFonts w:ascii="Times New Roman" w:eastAsia="Times New Roman" w:hAnsi="Times New Roman" w:cs="Times New Roman"/>
        </w:rPr>
        <w:t xml:space="preserve">The Office of Superintendent of Insurance (OSI) is New Mexico’s regulatory agency responsible for overseeing a wide range of insurance products, including private health and life insurance, auto, home, business, and title insurance. OSI plays a vital role in monitoring insurance company conduct and licensing producers (formerly known as insurance brokers and agents).  OSI regulates private health plans in the individual, small, and large group markets, ensuring that premium rates are fair, companies are financially sound, insurance products are </w:t>
      </w:r>
      <w:r w:rsidRPr="00151FAF">
        <w:rPr>
          <w:rFonts w:ascii="Times New Roman" w:eastAsia="Times New Roman" w:hAnsi="Times New Roman" w:cs="Times New Roman"/>
        </w:rPr>
        <w:lastRenderedPageBreak/>
        <w:t>compliant and that insurance coverage includes all benefit mandates and consumer protections.  </w:t>
      </w:r>
      <w:r w:rsidR="009819D4">
        <w:rPr>
          <w:rFonts w:ascii="Times New Roman" w:eastAsia="Times New Roman" w:hAnsi="Times New Roman" w:cs="Times New Roman"/>
        </w:rPr>
        <w:t xml:space="preserve"> </w:t>
      </w:r>
      <w:r w:rsidR="00363E7D" w:rsidRPr="00813AE3">
        <w:rPr>
          <w:rFonts w:ascii="Times New Roman" w:eastAsia="Times New Roman" w:hAnsi="Times New Roman" w:cs="Times New Roman"/>
        </w:rPr>
        <w:t>As part of its mission, OSI enforces the New Mexico Insurance Code to protect consumers and promote a fair, transparent insurance marketplace.</w:t>
      </w:r>
    </w:p>
    <w:p w14:paraId="2E7AC8E4" w14:textId="4667DB54" w:rsidR="00151FAF" w:rsidRPr="00151FAF" w:rsidRDefault="00151FAF" w:rsidP="00151FAF">
      <w:pPr>
        <w:rPr>
          <w:rFonts w:ascii="Times New Roman" w:eastAsia="Times New Roman" w:hAnsi="Times New Roman" w:cs="Times New Roman"/>
        </w:rPr>
      </w:pPr>
      <w:r w:rsidRPr="00151FAF">
        <w:rPr>
          <w:rFonts w:ascii="Times New Roman" w:eastAsia="Times New Roman" w:hAnsi="Times New Roman" w:cs="Times New Roman"/>
        </w:rPr>
        <w:t>OSI does not have regulatory authority over Medicaid, Medicare, TRICARE or self-funded health plans, where an employer assumes the financial responsibility for paying employee health care claims.</w:t>
      </w:r>
    </w:p>
    <w:p w14:paraId="37799B5C" w14:textId="77777777" w:rsidR="00151FAF" w:rsidRPr="00151FAF" w:rsidRDefault="00151FAF" w:rsidP="00151FAF">
      <w:pPr>
        <w:rPr>
          <w:rFonts w:ascii="Times New Roman" w:eastAsia="Times New Roman" w:hAnsi="Times New Roman" w:cs="Times New Roman"/>
        </w:rPr>
      </w:pPr>
      <w:r w:rsidRPr="00151FAF">
        <w:rPr>
          <w:rFonts w:ascii="Times New Roman" w:eastAsia="Times New Roman" w:hAnsi="Times New Roman" w:cs="Times New Roman"/>
        </w:rPr>
        <w:t xml:space="preserve">For more information about the Office of Superintendent of Insurance (OSI) and prior authorization requirements for health insurers, consumers may visit the OSI website at:  </w:t>
      </w:r>
      <w:hyperlink r:id="rId23" w:tgtFrame="_blank" w:tooltip="https://www.osi.state.nm.us/en/" w:history="1">
        <w:r w:rsidRPr="00151FAF">
          <w:rPr>
            <w:rFonts w:ascii="Times New Roman" w:eastAsia="Times New Roman" w:hAnsi="Times New Roman" w:cs="Times New Roman"/>
            <w:color w:val="0000FF"/>
            <w:u w:val="single"/>
          </w:rPr>
          <w:t>https://www.osi.state.nm.us/en/</w:t>
        </w:r>
      </w:hyperlink>
      <w:r w:rsidRPr="00151FAF">
        <w:rPr>
          <w:rFonts w:ascii="Times New Roman" w:eastAsia="Times New Roman" w:hAnsi="Times New Roman" w:cs="Times New Roman"/>
        </w:rPr>
        <w:t> </w:t>
      </w:r>
    </w:p>
    <w:p w14:paraId="4F49EBAB" w14:textId="77777777" w:rsidR="00151FAF" w:rsidRPr="00151FAF" w:rsidRDefault="00151FAF" w:rsidP="00151FAF">
      <w:pPr>
        <w:spacing w:before="100" w:beforeAutospacing="1" w:after="100" w:afterAutospacing="1" w:line="240" w:lineRule="auto"/>
        <w:rPr>
          <w:rFonts w:ascii="Times New Roman" w:eastAsia="Times New Roman" w:hAnsi="Times New Roman" w:cs="Times New Roman"/>
          <w:sz w:val="24"/>
          <w:szCs w:val="24"/>
        </w:rPr>
      </w:pPr>
      <w:r w:rsidRPr="00151FAF">
        <w:rPr>
          <w:rFonts w:ascii="Times New Roman" w:eastAsia="Times New Roman" w:hAnsi="Times New Roman" w:cs="Times New Roman"/>
          <w:sz w:val="24"/>
          <w:szCs w:val="24"/>
        </w:rPr>
        <w:t> </w:t>
      </w:r>
    </w:p>
    <w:p w14:paraId="31535A9D" w14:textId="77777777" w:rsidR="007D0459" w:rsidRDefault="007D0459" w:rsidP="007442A6">
      <w:pPr>
        <w:rPr>
          <w:rFonts w:ascii="Times New Roman" w:hAnsi="Times New Roman" w:cs="Times New Roman"/>
        </w:rPr>
      </w:pPr>
    </w:p>
    <w:sectPr w:rsidR="007D0459" w:rsidSect="003D298A">
      <w:headerReference w:type="default" r:id="rId24"/>
      <w:footerReference w:type="default" r:id="rId25"/>
      <w:headerReference w:type="first" r:id="rId26"/>
      <w:footerReference w:type="first" r:id="rId27"/>
      <w:pgSz w:w="12240" w:h="15840"/>
      <w:pgMar w:top="1440" w:right="1080" w:bottom="1440" w:left="1080" w:header="0" w:footer="0" w:gutter="0"/>
      <w:pgBorders w:offsetFrom="page">
        <w:top w:val="double" w:sz="4" w:space="24" w:color="C00000"/>
        <w:left w:val="double" w:sz="4" w:space="24" w:color="C00000"/>
        <w:bottom w:val="double" w:sz="4" w:space="24" w:color="C00000"/>
        <w:right w:val="double" w:sz="4"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E8EDE" w14:textId="77777777" w:rsidR="004A2B3E" w:rsidRDefault="004A2B3E" w:rsidP="00A206EB">
      <w:pPr>
        <w:spacing w:after="0" w:line="240" w:lineRule="auto"/>
      </w:pPr>
      <w:r>
        <w:separator/>
      </w:r>
    </w:p>
  </w:endnote>
  <w:endnote w:type="continuationSeparator" w:id="0">
    <w:p w14:paraId="2A95D40F" w14:textId="77777777" w:rsidR="004A2B3E" w:rsidRDefault="004A2B3E" w:rsidP="00A20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skoola Pota">
    <w:charset w:val="00"/>
    <w:family w:val="swiss"/>
    <w:pitch w:val="variable"/>
    <w:sig w:usb0="00000003" w:usb1="00000000" w:usb2="000002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55D0" w14:textId="4AA6B001" w:rsidR="00082761" w:rsidRPr="00060A0A" w:rsidRDefault="00082761" w:rsidP="00142F05">
    <w:pPr>
      <w:tabs>
        <w:tab w:val="left" w:pos="4320"/>
        <w:tab w:val="left" w:pos="4410"/>
        <w:tab w:val="left" w:pos="4590"/>
        <w:tab w:val="left" w:pos="4950"/>
      </w:tabs>
      <w:spacing w:after="0" w:line="240" w:lineRule="auto"/>
      <w:jc w:val="center"/>
      <w:rPr>
        <w:rFonts w:ascii="Times New Roman" w:hAnsi="Times New Roman" w:cs="Times New Roman"/>
        <w:color w:val="C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A7AD" w14:textId="2BEC960C" w:rsidR="00082761" w:rsidRPr="00060A0A" w:rsidRDefault="00082761" w:rsidP="009069C6">
    <w:pPr>
      <w:tabs>
        <w:tab w:val="left" w:pos="4320"/>
        <w:tab w:val="left" w:pos="4410"/>
        <w:tab w:val="left" w:pos="4590"/>
        <w:tab w:val="left" w:pos="4950"/>
      </w:tabs>
      <w:spacing w:after="0" w:line="240" w:lineRule="auto"/>
      <w:jc w:val="center"/>
      <w:rPr>
        <w:rFonts w:ascii="Times New Roman" w:hAnsi="Times New Roman" w:cs="Times New Roman"/>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6EFEC" w14:textId="77777777" w:rsidR="004A2B3E" w:rsidRDefault="004A2B3E" w:rsidP="00A206EB">
      <w:pPr>
        <w:spacing w:after="0" w:line="240" w:lineRule="auto"/>
      </w:pPr>
      <w:r>
        <w:separator/>
      </w:r>
    </w:p>
  </w:footnote>
  <w:footnote w:type="continuationSeparator" w:id="0">
    <w:p w14:paraId="1FA20A06" w14:textId="77777777" w:rsidR="004A2B3E" w:rsidRDefault="004A2B3E" w:rsidP="00A206EB">
      <w:pPr>
        <w:spacing w:after="0" w:line="240" w:lineRule="auto"/>
      </w:pPr>
      <w:r>
        <w:continuationSeparator/>
      </w:r>
    </w:p>
  </w:footnote>
  <w:footnote w:id="1">
    <w:p w14:paraId="636F1DEB" w14:textId="58A25976" w:rsidR="00BC4AAB" w:rsidRPr="005949BF" w:rsidRDefault="00BC4AAB" w:rsidP="00A96F96">
      <w:pPr>
        <w:spacing w:before="240" w:line="240" w:lineRule="auto"/>
        <w:rPr>
          <w:rFonts w:ascii="Times New Roman" w:hAnsi="Times New Roman" w:cs="Times New Roman"/>
          <w:sz w:val="18"/>
          <w:szCs w:val="18"/>
        </w:rPr>
      </w:pPr>
      <w:r w:rsidRPr="005949BF">
        <w:rPr>
          <w:rStyle w:val="FootnoteReference"/>
        </w:rPr>
        <w:footnoteRef/>
      </w:r>
      <w:r w:rsidRPr="005949BF">
        <w:t xml:space="preserve"> </w:t>
      </w:r>
      <w:r w:rsidRPr="005949BF">
        <w:rPr>
          <w:rFonts w:ascii="Times New Roman" w:eastAsia="Aptos" w:hAnsi="Times New Roman" w:cs="Times New Roman"/>
          <w:sz w:val="18"/>
          <w:szCs w:val="18"/>
        </w:rPr>
        <w:t>* Blue Cross and Blue Shield of New Mexico is a Division of Health Care Service Corporation, a Mutual Legal Reserve Company, an Independent Licensee of the Blue Cross and Blue Shield Association and doing business in New Mexico as BCBSNM.</w:t>
      </w:r>
      <w:r w:rsidRPr="005949BF" w:rsidDel="001C4087">
        <w:rPr>
          <w:rFonts w:ascii="Times New Roman" w:hAnsi="Times New Roman" w:cs="Times New Roman"/>
          <w:sz w:val="18"/>
          <w:szCs w:val="18"/>
        </w:rPr>
        <w:t xml:space="preserve"> </w:t>
      </w:r>
    </w:p>
  </w:footnote>
  <w:footnote w:id="2">
    <w:p w14:paraId="7D0B0C0D" w14:textId="1293F9A1" w:rsidR="00C2550F" w:rsidRPr="005949BF" w:rsidRDefault="00C2550F" w:rsidP="00A96F96">
      <w:pPr>
        <w:pStyle w:val="FootnoteText"/>
      </w:pPr>
      <w:r w:rsidRPr="005949BF">
        <w:rPr>
          <w:rStyle w:val="FootnoteReference"/>
        </w:rPr>
        <w:footnoteRef/>
      </w:r>
      <w:r w:rsidRPr="005949BF">
        <w:t xml:space="preserve"> </w:t>
      </w:r>
      <w:r w:rsidRPr="005949BF">
        <w:rPr>
          <w:rFonts w:ascii="Times New Roman" w:hAnsi="Times New Roman" w:cs="Times New Roman"/>
          <w:sz w:val="18"/>
          <w:szCs w:val="18"/>
        </w:rPr>
        <w:t>As of May 2023, Cigna had no covered lives under any large group plans reviewed and approved by the Office of Superintendent of Insurance (OSI). This report summarizes the number of prior authorization requests processed by the company between January and May 2023. Cigna retains its Certificate of Authority in New Mexico and continues to offer other lines of insurance in the state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C60E" w14:textId="2FABBA42" w:rsidR="00060A0A" w:rsidRPr="00060A0A" w:rsidRDefault="00A14CC3" w:rsidP="00714BDA">
    <w:pPr>
      <w:pStyle w:val="Header"/>
      <w:pBdr>
        <w:bottom w:val="single" w:sz="4" w:space="1" w:color="D9D9D9"/>
      </w:pBdr>
      <w:rPr>
        <w:b/>
        <w:bCs/>
        <w:color w:val="FF0000"/>
      </w:rPr>
    </w:pPr>
    <w:r>
      <w:rPr>
        <w:color w:val="FF0000"/>
      </w:rPr>
      <w:br/>
    </w:r>
    <w:r w:rsidR="00060A0A" w:rsidRPr="00060A0A">
      <w:rPr>
        <w:color w:val="FF0000"/>
      </w:rPr>
      <w:br/>
    </w:r>
    <w:sdt>
      <w:sdtPr>
        <w:rPr>
          <w:color w:val="FF0000"/>
        </w:rPr>
        <w:id w:val="1478415449"/>
        <w:docPartObj>
          <w:docPartGallery w:val="Page Numbers (Top of Page)"/>
          <w:docPartUnique/>
        </w:docPartObj>
      </w:sdtPr>
      <w:sdtEndPr>
        <w:rPr>
          <w:spacing w:val="60"/>
        </w:rPr>
      </w:sdtEndPr>
      <w:sdtContent>
        <w:r w:rsidR="00060A0A" w:rsidRPr="00A14CC3">
          <w:rPr>
            <w:rFonts w:ascii="Times New Roman" w:hAnsi="Times New Roman" w:cs="Times New Roman"/>
          </w:rPr>
          <w:fldChar w:fldCharType="begin"/>
        </w:r>
        <w:r w:rsidR="00060A0A" w:rsidRPr="00A14CC3">
          <w:rPr>
            <w:rFonts w:ascii="Times New Roman" w:hAnsi="Times New Roman" w:cs="Times New Roman"/>
          </w:rPr>
          <w:instrText xml:space="preserve"> PAGE   \* MERGEFORMAT </w:instrText>
        </w:r>
        <w:r w:rsidR="00060A0A" w:rsidRPr="00A14CC3">
          <w:rPr>
            <w:rFonts w:ascii="Times New Roman" w:hAnsi="Times New Roman" w:cs="Times New Roman"/>
          </w:rPr>
          <w:fldChar w:fldCharType="separate"/>
        </w:r>
        <w:r w:rsidR="001401BE" w:rsidRPr="001401BE">
          <w:rPr>
            <w:rFonts w:ascii="Times New Roman" w:hAnsi="Times New Roman" w:cs="Times New Roman"/>
            <w:b/>
            <w:bCs/>
            <w:noProof/>
          </w:rPr>
          <w:t>2</w:t>
        </w:r>
        <w:r w:rsidR="00060A0A" w:rsidRPr="00A14CC3">
          <w:rPr>
            <w:rFonts w:ascii="Times New Roman" w:hAnsi="Times New Roman" w:cs="Times New Roman"/>
            <w:b/>
            <w:bCs/>
            <w:noProof/>
          </w:rPr>
          <w:fldChar w:fldCharType="end"/>
        </w:r>
        <w:r w:rsidR="00060A0A" w:rsidRPr="00A14CC3">
          <w:rPr>
            <w:rFonts w:ascii="Times New Roman" w:hAnsi="Times New Roman" w:cs="Times New Roman"/>
            <w:b/>
            <w:bCs/>
          </w:rPr>
          <w:t xml:space="preserve"> | </w:t>
        </w:r>
        <w:r w:rsidR="00060A0A" w:rsidRPr="00A14CC3">
          <w:rPr>
            <w:rFonts w:ascii="Times New Roman" w:hAnsi="Times New Roman" w:cs="Times New Roman"/>
            <w:spacing w:val="60"/>
          </w:rPr>
          <w:t>Page</w:t>
        </w:r>
      </w:sdtContent>
    </w:sdt>
  </w:p>
  <w:p w14:paraId="4BB9F707" w14:textId="77777777" w:rsidR="00082761" w:rsidRPr="00A126E2" w:rsidRDefault="00082761" w:rsidP="00A126E2">
    <w:pPr>
      <w:tabs>
        <w:tab w:val="left" w:pos="4320"/>
        <w:tab w:val="left" w:pos="4410"/>
        <w:tab w:val="left" w:pos="4590"/>
        <w:tab w:val="left" w:pos="4950"/>
      </w:tabs>
      <w:spacing w:after="0" w:line="240" w:lineRule="auto"/>
      <w:rPr>
        <w:rFonts w:ascii="Times New Roman" w:hAnsi="Times New Roman" w:cs="Times New Roman"/>
        <w:b/>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90829" w14:textId="77777777" w:rsidR="00CD5EE8" w:rsidRPr="00714BDA" w:rsidRDefault="00082761" w:rsidP="009069C6">
    <w:pPr>
      <w:tabs>
        <w:tab w:val="left" w:pos="4320"/>
        <w:tab w:val="left" w:pos="4410"/>
        <w:tab w:val="left" w:pos="4590"/>
        <w:tab w:val="left" w:pos="4950"/>
      </w:tabs>
      <w:spacing w:after="0" w:line="240" w:lineRule="auto"/>
      <w:jc w:val="center"/>
      <w:rPr>
        <w:rFonts w:ascii="Times New Roman" w:hAnsi="Times New Roman" w:cs="Times New Roman"/>
        <w:color w:val="000000"/>
        <w:sz w:val="36"/>
      </w:rPr>
    </w:pPr>
    <w:r w:rsidRPr="00714BDA">
      <w:rPr>
        <w:rFonts w:ascii="Times New Roman" w:hAnsi="Times New Roman" w:cs="Times New Roman"/>
        <w:color w:val="000000"/>
        <w:sz w:val="8"/>
      </w:rPr>
      <w:br/>
    </w:r>
  </w:p>
  <w:p w14:paraId="15AC4E6F" w14:textId="77777777" w:rsidR="00661E88" w:rsidRDefault="00661E88" w:rsidP="00924B9B">
    <w:pPr>
      <w:tabs>
        <w:tab w:val="left" w:pos="4320"/>
        <w:tab w:val="left" w:pos="4410"/>
        <w:tab w:val="left" w:pos="4590"/>
        <w:tab w:val="left" w:pos="4950"/>
      </w:tabs>
      <w:spacing w:after="0" w:line="240" w:lineRule="auto"/>
      <w:jc w:val="center"/>
      <w:rPr>
        <w:rFonts w:ascii="Times New Roman" w:hAnsi="Times New Roman" w:cs="Times New Roman"/>
        <w:color w:val="C00000"/>
        <w:sz w:val="36"/>
      </w:rPr>
    </w:pPr>
  </w:p>
  <w:p w14:paraId="55E32752" w14:textId="2239923F" w:rsidR="00924B9B" w:rsidRPr="00774043" w:rsidRDefault="00924B9B" w:rsidP="00924B9B">
    <w:pPr>
      <w:tabs>
        <w:tab w:val="left" w:pos="4320"/>
        <w:tab w:val="left" w:pos="4410"/>
        <w:tab w:val="left" w:pos="4590"/>
        <w:tab w:val="left" w:pos="4950"/>
      </w:tabs>
      <w:spacing w:after="0" w:line="240" w:lineRule="auto"/>
      <w:jc w:val="center"/>
      <w:rPr>
        <w:rFonts w:ascii="Times New Roman" w:hAnsi="Times New Roman" w:cs="Times New Roman"/>
        <w:color w:val="C00000"/>
        <w:sz w:val="40"/>
        <w:szCs w:val="40"/>
      </w:rPr>
    </w:pPr>
    <w:r w:rsidRPr="00774043">
      <w:rPr>
        <w:rFonts w:ascii="Times New Roman" w:hAnsi="Times New Roman" w:cs="Times New Roman"/>
        <w:color w:val="C00000"/>
        <w:sz w:val="40"/>
        <w:szCs w:val="40"/>
      </w:rPr>
      <w:t>STATE OF NEW MEXICO</w:t>
    </w:r>
  </w:p>
  <w:p w14:paraId="06684E08" w14:textId="2709F700" w:rsidR="00924B9B" w:rsidRPr="00CD5EE8" w:rsidRDefault="00661E88" w:rsidP="00924B9B">
    <w:pPr>
      <w:tabs>
        <w:tab w:val="left" w:pos="4320"/>
        <w:tab w:val="left" w:pos="4410"/>
        <w:tab w:val="left" w:pos="4590"/>
        <w:tab w:val="left" w:pos="4950"/>
      </w:tabs>
      <w:spacing w:after="0" w:line="240" w:lineRule="auto"/>
      <w:jc w:val="center"/>
      <w:rPr>
        <w:rFonts w:ascii="Times New Roman" w:hAnsi="Times New Roman" w:cs="Times New Roman"/>
        <w:b/>
        <w:color w:val="C00000"/>
        <w:sz w:val="6"/>
      </w:rPr>
    </w:pPr>
    <w:r w:rsidRPr="00774043">
      <w:rPr>
        <w:rFonts w:ascii="Times New Roman" w:hAnsi="Times New Roman" w:cs="Times New Roman"/>
        <w:noProof/>
        <w:color w:val="C00000"/>
        <w:sz w:val="40"/>
        <w:szCs w:val="40"/>
      </w:rPr>
      <w:drawing>
        <wp:anchor distT="0" distB="0" distL="114300" distR="114300" simplePos="0" relativeHeight="251657216" behindDoc="0" locked="0" layoutInCell="1" allowOverlap="1" wp14:anchorId="502107AC" wp14:editId="337ECADF">
          <wp:simplePos x="0" y="0"/>
          <wp:positionH relativeFrom="column">
            <wp:posOffset>2025015</wp:posOffset>
          </wp:positionH>
          <wp:positionV relativeFrom="page">
            <wp:posOffset>1174750</wp:posOffset>
          </wp:positionV>
          <wp:extent cx="2573327" cy="1930400"/>
          <wp:effectExtent l="0" t="0" r="0" b="0"/>
          <wp:wrapNone/>
          <wp:docPr id="1471528305" name="Picture 14715283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73327" cy="1930400"/>
                  </a:xfrm>
                  <a:prstGeom prst="rect">
                    <a:avLst/>
                  </a:prstGeom>
                </pic:spPr>
              </pic:pic>
            </a:graphicData>
          </a:graphic>
          <wp14:sizeRelH relativeFrom="margin">
            <wp14:pctWidth>0</wp14:pctWidth>
          </wp14:sizeRelH>
          <wp14:sizeRelV relativeFrom="margin">
            <wp14:pctHeight>0</wp14:pctHeight>
          </wp14:sizeRelV>
        </wp:anchor>
      </w:drawing>
    </w:r>
    <w:r w:rsidR="00924B9B" w:rsidRPr="00774043">
      <w:rPr>
        <w:rFonts w:ascii="Times New Roman" w:hAnsi="Times New Roman" w:cs="Times New Roman"/>
        <w:b/>
        <w:color w:val="C00000"/>
        <w:sz w:val="40"/>
        <w:szCs w:val="40"/>
      </w:rPr>
      <w:t>OFFICE OF SUPERINTENDENT OF INSURANCE</w:t>
    </w:r>
    <w:r w:rsidR="00924B9B" w:rsidRPr="00CD5EE8">
      <w:rPr>
        <w:rFonts w:ascii="Times New Roman" w:hAnsi="Times New Roman" w:cs="Times New Roman"/>
        <w:b/>
        <w:color w:val="C00000"/>
        <w:sz w:val="36"/>
      </w:rPr>
      <w:br/>
    </w:r>
  </w:p>
  <w:tbl>
    <w:tblPr>
      <w:tblW w:w="9887" w:type="dxa"/>
      <w:jc w:val="center"/>
      <w:tblLayout w:type="fixed"/>
      <w:tblCellMar>
        <w:left w:w="120" w:type="dxa"/>
        <w:right w:w="120" w:type="dxa"/>
      </w:tblCellMar>
      <w:tblLook w:val="0000" w:firstRow="0" w:lastRow="0" w:firstColumn="0" w:lastColumn="0" w:noHBand="0" w:noVBand="0"/>
    </w:tblPr>
    <w:tblGrid>
      <w:gridCol w:w="4005"/>
      <w:gridCol w:w="1825"/>
      <w:gridCol w:w="4057"/>
    </w:tblGrid>
    <w:tr w:rsidR="00924B9B" w:rsidRPr="00CD5EE8" w14:paraId="74E6E4CD" w14:textId="77777777" w:rsidTr="00D12177">
      <w:trPr>
        <w:trHeight w:val="609"/>
        <w:jc w:val="center"/>
      </w:trPr>
      <w:tc>
        <w:tcPr>
          <w:tcW w:w="4005" w:type="dxa"/>
        </w:tcPr>
        <w:p w14:paraId="6A864931" w14:textId="77777777" w:rsidR="00924B9B" w:rsidRPr="00CD5EE8" w:rsidRDefault="00924B9B" w:rsidP="00924B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color w:val="C00000"/>
              <w:sz w:val="18"/>
            </w:rPr>
          </w:pPr>
          <w:bookmarkStart w:id="24" w:name="_Hlk531168333"/>
          <w:bookmarkStart w:id="25" w:name="_Hlk531168334"/>
        </w:p>
      </w:tc>
      <w:tc>
        <w:tcPr>
          <w:tcW w:w="1825" w:type="dxa"/>
        </w:tcPr>
        <w:p w14:paraId="3CB2D729" w14:textId="4F1B01C0" w:rsidR="00924B9B" w:rsidRPr="00CD5EE8" w:rsidRDefault="00924B9B" w:rsidP="00924B9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Arial" w:hAnsi="Arial"/>
              <w:color w:val="C00000"/>
              <w:sz w:val="14"/>
            </w:rPr>
          </w:pPr>
        </w:p>
      </w:tc>
      <w:tc>
        <w:tcPr>
          <w:tcW w:w="4057" w:type="dxa"/>
        </w:tcPr>
        <w:p w14:paraId="33F50B20" w14:textId="77777777" w:rsidR="00924B9B" w:rsidRPr="00CD5EE8" w:rsidRDefault="00924B9B" w:rsidP="00924B9B">
          <w:pPr>
            <w:spacing w:after="0" w:line="240" w:lineRule="auto"/>
            <w:jc w:val="right"/>
            <w:rPr>
              <w:rFonts w:cstheme="minorHAnsi"/>
              <w:color w:val="C00000"/>
              <w:lang w:val="es-MX"/>
            </w:rPr>
          </w:pPr>
        </w:p>
        <w:p w14:paraId="5AB88C30" w14:textId="77777777" w:rsidR="00924B9B" w:rsidRPr="00CD5EE8" w:rsidRDefault="00924B9B" w:rsidP="00924B9B">
          <w:pPr>
            <w:rPr>
              <w:rFonts w:cs="Times New Roman"/>
              <w:color w:val="C00000"/>
              <w:sz w:val="20"/>
              <w:szCs w:val="20"/>
            </w:rPr>
          </w:pPr>
        </w:p>
      </w:tc>
    </w:tr>
    <w:tr w:rsidR="00924B9B" w:rsidRPr="00CD5EE8" w14:paraId="3FCF5760" w14:textId="77777777" w:rsidTr="00D12177">
      <w:trPr>
        <w:trHeight w:val="609"/>
        <w:jc w:val="center"/>
      </w:trPr>
      <w:tc>
        <w:tcPr>
          <w:tcW w:w="4005" w:type="dxa"/>
        </w:tcPr>
        <w:p w14:paraId="58E484BB" w14:textId="77777777" w:rsidR="00924B9B" w:rsidRPr="00CD5EE8" w:rsidRDefault="00924B9B" w:rsidP="00924B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theme="minorHAnsi"/>
              <w:color w:val="C00000"/>
              <w:sz w:val="18"/>
            </w:rPr>
          </w:pPr>
        </w:p>
      </w:tc>
      <w:tc>
        <w:tcPr>
          <w:tcW w:w="1825" w:type="dxa"/>
        </w:tcPr>
        <w:p w14:paraId="51C4E84D" w14:textId="7192C7DA" w:rsidR="00924B9B" w:rsidRPr="00CD5EE8" w:rsidRDefault="00924B9B" w:rsidP="00924B9B">
          <w:pPr>
            <w:tabs>
              <w:tab w:val="left" w:pos="-4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rPr>
              <w:rFonts w:ascii="Times New Roman" w:hAnsi="Times New Roman" w:cs="Times New Roman"/>
              <w:noProof/>
              <w:color w:val="C00000"/>
              <w:sz w:val="20"/>
              <w:szCs w:val="20"/>
            </w:rPr>
          </w:pPr>
        </w:p>
      </w:tc>
      <w:tc>
        <w:tcPr>
          <w:tcW w:w="4057" w:type="dxa"/>
        </w:tcPr>
        <w:p w14:paraId="0A10C12B" w14:textId="5A42F79E" w:rsidR="00924B9B" w:rsidRPr="00CD5EE8" w:rsidRDefault="00924B9B" w:rsidP="00F06022">
          <w:pPr>
            <w:spacing w:after="0" w:line="240" w:lineRule="auto"/>
            <w:rPr>
              <w:rFonts w:cstheme="minorHAnsi"/>
              <w:color w:val="C00000"/>
              <w:lang w:val="es-MX"/>
            </w:rPr>
          </w:pPr>
        </w:p>
      </w:tc>
    </w:tr>
    <w:bookmarkEnd w:id="24"/>
    <w:bookmarkEnd w:id="25"/>
  </w:tbl>
  <w:p w14:paraId="4149820A" w14:textId="74EE070B" w:rsidR="00EF077F" w:rsidRPr="00F06022" w:rsidRDefault="00EF077F" w:rsidP="00F06022">
    <w:pPr>
      <w:pStyle w:val="Heading2"/>
      <w:spacing w:after="120"/>
      <w:rPr>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715A"/>
    <w:multiLevelType w:val="hybridMultilevel"/>
    <w:tmpl w:val="D19E35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37E6E"/>
    <w:multiLevelType w:val="multilevel"/>
    <w:tmpl w:val="0B5871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7C71595"/>
    <w:multiLevelType w:val="hybridMultilevel"/>
    <w:tmpl w:val="30C6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7367B"/>
    <w:multiLevelType w:val="multilevel"/>
    <w:tmpl w:val="9CD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27874"/>
    <w:multiLevelType w:val="hybridMultilevel"/>
    <w:tmpl w:val="990A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182C"/>
    <w:multiLevelType w:val="hybridMultilevel"/>
    <w:tmpl w:val="E7C4E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90A62"/>
    <w:multiLevelType w:val="hybridMultilevel"/>
    <w:tmpl w:val="F3E2D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28B9"/>
    <w:multiLevelType w:val="hybridMultilevel"/>
    <w:tmpl w:val="DCFE8420"/>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C2EE4"/>
    <w:multiLevelType w:val="hybridMultilevel"/>
    <w:tmpl w:val="1BDE7360"/>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425AA8"/>
    <w:multiLevelType w:val="hybridMultilevel"/>
    <w:tmpl w:val="39D4F3D2"/>
    <w:lvl w:ilvl="0" w:tplc="732AA31E">
      <w:start w:val="1"/>
      <w:numFmt w:val="bullet"/>
      <w:lvlText w:val=""/>
      <w:lvlJc w:val="left"/>
      <w:pPr>
        <w:ind w:left="2160" w:hanging="360"/>
      </w:pPr>
      <w:rPr>
        <w:rFonts w:ascii="Symbol" w:hAnsi="Symbol"/>
      </w:rPr>
    </w:lvl>
    <w:lvl w:ilvl="1" w:tplc="274ABC5E">
      <w:start w:val="1"/>
      <w:numFmt w:val="bullet"/>
      <w:lvlText w:val=""/>
      <w:lvlJc w:val="left"/>
      <w:pPr>
        <w:ind w:left="2160" w:hanging="360"/>
      </w:pPr>
      <w:rPr>
        <w:rFonts w:ascii="Symbol" w:hAnsi="Symbol"/>
      </w:rPr>
    </w:lvl>
    <w:lvl w:ilvl="2" w:tplc="149CFBA0">
      <w:start w:val="1"/>
      <w:numFmt w:val="bullet"/>
      <w:lvlText w:val=""/>
      <w:lvlJc w:val="left"/>
      <w:pPr>
        <w:ind w:left="2160" w:hanging="360"/>
      </w:pPr>
      <w:rPr>
        <w:rFonts w:ascii="Symbol" w:hAnsi="Symbol"/>
      </w:rPr>
    </w:lvl>
    <w:lvl w:ilvl="3" w:tplc="C7326F8C">
      <w:start w:val="1"/>
      <w:numFmt w:val="bullet"/>
      <w:lvlText w:val=""/>
      <w:lvlJc w:val="left"/>
      <w:pPr>
        <w:ind w:left="2160" w:hanging="360"/>
      </w:pPr>
      <w:rPr>
        <w:rFonts w:ascii="Symbol" w:hAnsi="Symbol"/>
      </w:rPr>
    </w:lvl>
    <w:lvl w:ilvl="4" w:tplc="DD7A1B62">
      <w:start w:val="1"/>
      <w:numFmt w:val="bullet"/>
      <w:lvlText w:val=""/>
      <w:lvlJc w:val="left"/>
      <w:pPr>
        <w:ind w:left="2160" w:hanging="360"/>
      </w:pPr>
      <w:rPr>
        <w:rFonts w:ascii="Symbol" w:hAnsi="Symbol"/>
      </w:rPr>
    </w:lvl>
    <w:lvl w:ilvl="5" w:tplc="D2FC897A">
      <w:start w:val="1"/>
      <w:numFmt w:val="bullet"/>
      <w:lvlText w:val=""/>
      <w:lvlJc w:val="left"/>
      <w:pPr>
        <w:ind w:left="2160" w:hanging="360"/>
      </w:pPr>
      <w:rPr>
        <w:rFonts w:ascii="Symbol" w:hAnsi="Symbol"/>
      </w:rPr>
    </w:lvl>
    <w:lvl w:ilvl="6" w:tplc="836ADDCC">
      <w:start w:val="1"/>
      <w:numFmt w:val="bullet"/>
      <w:lvlText w:val=""/>
      <w:lvlJc w:val="left"/>
      <w:pPr>
        <w:ind w:left="2160" w:hanging="360"/>
      </w:pPr>
      <w:rPr>
        <w:rFonts w:ascii="Symbol" w:hAnsi="Symbol"/>
      </w:rPr>
    </w:lvl>
    <w:lvl w:ilvl="7" w:tplc="8026C0BA">
      <w:start w:val="1"/>
      <w:numFmt w:val="bullet"/>
      <w:lvlText w:val=""/>
      <w:lvlJc w:val="left"/>
      <w:pPr>
        <w:ind w:left="2160" w:hanging="360"/>
      </w:pPr>
      <w:rPr>
        <w:rFonts w:ascii="Symbol" w:hAnsi="Symbol"/>
      </w:rPr>
    </w:lvl>
    <w:lvl w:ilvl="8" w:tplc="5A828C48">
      <w:start w:val="1"/>
      <w:numFmt w:val="bullet"/>
      <w:lvlText w:val=""/>
      <w:lvlJc w:val="left"/>
      <w:pPr>
        <w:ind w:left="2160" w:hanging="360"/>
      </w:pPr>
      <w:rPr>
        <w:rFonts w:ascii="Symbol" w:hAnsi="Symbol"/>
      </w:rPr>
    </w:lvl>
  </w:abstractNum>
  <w:abstractNum w:abstractNumId="10" w15:restartNumberingAfterBreak="0">
    <w:nsid w:val="12614AA3"/>
    <w:multiLevelType w:val="hybridMultilevel"/>
    <w:tmpl w:val="E96EC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2D641D3"/>
    <w:multiLevelType w:val="hybridMultilevel"/>
    <w:tmpl w:val="16425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241749"/>
    <w:multiLevelType w:val="hybridMultilevel"/>
    <w:tmpl w:val="AADC2B58"/>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E3B70"/>
    <w:multiLevelType w:val="hybridMultilevel"/>
    <w:tmpl w:val="D9587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53F96"/>
    <w:multiLevelType w:val="hybridMultilevel"/>
    <w:tmpl w:val="5B9AB160"/>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A91D06"/>
    <w:multiLevelType w:val="hybridMultilevel"/>
    <w:tmpl w:val="67D8501A"/>
    <w:lvl w:ilvl="0" w:tplc="DD500530">
      <w:numFmt w:val="bullet"/>
      <w:lvlText w:val="-"/>
      <w:lvlJc w:val="left"/>
      <w:pPr>
        <w:ind w:left="720" w:hanging="360"/>
      </w:pPr>
      <w:rPr>
        <w:rFonts w:ascii="Iskoola Pota" w:eastAsia="Calibri" w:hAnsi="Iskoola Pota" w:cs="Iskoola Pot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48A62FA"/>
    <w:multiLevelType w:val="hybridMultilevel"/>
    <w:tmpl w:val="CA34B7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0E77F2"/>
    <w:multiLevelType w:val="multilevel"/>
    <w:tmpl w:val="AC048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4758BF"/>
    <w:multiLevelType w:val="hybridMultilevel"/>
    <w:tmpl w:val="A4FA78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40C91E1F"/>
    <w:multiLevelType w:val="hybridMultilevel"/>
    <w:tmpl w:val="940E7696"/>
    <w:lvl w:ilvl="0" w:tplc="FFFFFFF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5BB5533"/>
    <w:multiLevelType w:val="hybridMultilevel"/>
    <w:tmpl w:val="778805AA"/>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F32C69"/>
    <w:multiLevelType w:val="hybridMultilevel"/>
    <w:tmpl w:val="CADE2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B679C8"/>
    <w:multiLevelType w:val="hybridMultilevel"/>
    <w:tmpl w:val="91FA89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0B86C90"/>
    <w:multiLevelType w:val="hybridMultilevel"/>
    <w:tmpl w:val="49769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C66C43"/>
    <w:multiLevelType w:val="multilevel"/>
    <w:tmpl w:val="AC048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4596C"/>
    <w:multiLevelType w:val="multilevel"/>
    <w:tmpl w:val="8152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2460AB"/>
    <w:multiLevelType w:val="hybridMultilevel"/>
    <w:tmpl w:val="95F8CCE0"/>
    <w:lvl w:ilvl="0" w:tplc="02B89CD0">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C4529"/>
    <w:multiLevelType w:val="hybridMultilevel"/>
    <w:tmpl w:val="DA1AD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C549AC"/>
    <w:multiLevelType w:val="hybridMultilevel"/>
    <w:tmpl w:val="27B4A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4779927">
    <w:abstractNumId w:val="7"/>
  </w:num>
  <w:num w:numId="2" w16cid:durableId="1326667776">
    <w:abstractNumId w:val="26"/>
  </w:num>
  <w:num w:numId="3" w16cid:durableId="1957172773">
    <w:abstractNumId w:val="8"/>
  </w:num>
  <w:num w:numId="4" w16cid:durableId="527909869">
    <w:abstractNumId w:val="14"/>
  </w:num>
  <w:num w:numId="5" w16cid:durableId="203560954">
    <w:abstractNumId w:val="20"/>
  </w:num>
  <w:num w:numId="6" w16cid:durableId="187377758">
    <w:abstractNumId w:val="12"/>
  </w:num>
  <w:num w:numId="7" w16cid:durableId="199366344">
    <w:abstractNumId w:val="6"/>
  </w:num>
  <w:num w:numId="8" w16cid:durableId="1649701437">
    <w:abstractNumId w:val="16"/>
  </w:num>
  <w:num w:numId="9" w16cid:durableId="790586250">
    <w:abstractNumId w:val="21"/>
  </w:num>
  <w:num w:numId="10" w16cid:durableId="1265840273">
    <w:abstractNumId w:val="28"/>
  </w:num>
  <w:num w:numId="11" w16cid:durableId="1349716433">
    <w:abstractNumId w:val="5"/>
  </w:num>
  <w:num w:numId="12" w16cid:durableId="125239414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518461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1501669">
    <w:abstractNumId w:val="11"/>
  </w:num>
  <w:num w:numId="15" w16cid:durableId="1179152858">
    <w:abstractNumId w:val="2"/>
  </w:num>
  <w:num w:numId="16" w16cid:durableId="1607424681">
    <w:abstractNumId w:val="15"/>
  </w:num>
  <w:num w:numId="17" w16cid:durableId="1246107288">
    <w:abstractNumId w:val="0"/>
  </w:num>
  <w:num w:numId="18" w16cid:durableId="533233183">
    <w:abstractNumId w:val="17"/>
  </w:num>
  <w:num w:numId="19" w16cid:durableId="1764452624">
    <w:abstractNumId w:val="24"/>
  </w:num>
  <w:num w:numId="20" w16cid:durableId="323244150">
    <w:abstractNumId w:val="9"/>
  </w:num>
  <w:num w:numId="21" w16cid:durableId="1670450108">
    <w:abstractNumId w:val="23"/>
  </w:num>
  <w:num w:numId="22" w16cid:durableId="1162311746">
    <w:abstractNumId w:val="19"/>
  </w:num>
  <w:num w:numId="23" w16cid:durableId="1958098781">
    <w:abstractNumId w:val="13"/>
  </w:num>
  <w:num w:numId="24" w16cid:durableId="51932836">
    <w:abstractNumId w:val="1"/>
  </w:num>
  <w:num w:numId="25" w16cid:durableId="1318538021">
    <w:abstractNumId w:val="25"/>
  </w:num>
  <w:num w:numId="26" w16cid:durableId="1249802544">
    <w:abstractNumId w:val="3"/>
  </w:num>
  <w:num w:numId="27" w16cid:durableId="228080940">
    <w:abstractNumId w:val="27"/>
  </w:num>
  <w:num w:numId="28" w16cid:durableId="1401750371">
    <w:abstractNumId w:val="10"/>
  </w:num>
  <w:num w:numId="29" w16cid:durableId="1242254911">
    <w:abstractNumId w:val="4"/>
  </w:num>
  <w:num w:numId="30" w16cid:durableId="5900454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1NTEwNbY0NjI1NbVQ0lEKTi0uzszPAykwqgUArbLy0iwAAAA="/>
  </w:docVars>
  <w:rsids>
    <w:rsidRoot w:val="00D42423"/>
    <w:rsid w:val="00000141"/>
    <w:rsid w:val="00000A08"/>
    <w:rsid w:val="00005162"/>
    <w:rsid w:val="000062C1"/>
    <w:rsid w:val="00011C80"/>
    <w:rsid w:val="0001381E"/>
    <w:rsid w:val="00013C62"/>
    <w:rsid w:val="00014220"/>
    <w:rsid w:val="00020192"/>
    <w:rsid w:val="000221D7"/>
    <w:rsid w:val="00027ACC"/>
    <w:rsid w:val="000309FF"/>
    <w:rsid w:val="00032ED0"/>
    <w:rsid w:val="00046705"/>
    <w:rsid w:val="00046831"/>
    <w:rsid w:val="000476D6"/>
    <w:rsid w:val="000577D5"/>
    <w:rsid w:val="00057FD2"/>
    <w:rsid w:val="00060A0A"/>
    <w:rsid w:val="000618BE"/>
    <w:rsid w:val="0006527E"/>
    <w:rsid w:val="0007026F"/>
    <w:rsid w:val="00073DBF"/>
    <w:rsid w:val="0007423B"/>
    <w:rsid w:val="000820C5"/>
    <w:rsid w:val="00082761"/>
    <w:rsid w:val="00083FBB"/>
    <w:rsid w:val="00092D74"/>
    <w:rsid w:val="000A11D1"/>
    <w:rsid w:val="000A57E5"/>
    <w:rsid w:val="000A5E68"/>
    <w:rsid w:val="000A74FA"/>
    <w:rsid w:val="000B16FD"/>
    <w:rsid w:val="000B208C"/>
    <w:rsid w:val="000B31A5"/>
    <w:rsid w:val="000B43AA"/>
    <w:rsid w:val="000C0FD1"/>
    <w:rsid w:val="000C2FA5"/>
    <w:rsid w:val="000C64ED"/>
    <w:rsid w:val="000D242D"/>
    <w:rsid w:val="000D2713"/>
    <w:rsid w:val="000D5A70"/>
    <w:rsid w:val="000E1456"/>
    <w:rsid w:val="000E16F7"/>
    <w:rsid w:val="000E2D5B"/>
    <w:rsid w:val="000E2E0A"/>
    <w:rsid w:val="000E4D56"/>
    <w:rsid w:val="000E74EF"/>
    <w:rsid w:val="000F0E9F"/>
    <w:rsid w:val="000F12F0"/>
    <w:rsid w:val="000F4692"/>
    <w:rsid w:val="000F6ED4"/>
    <w:rsid w:val="000F782C"/>
    <w:rsid w:val="000F7E8B"/>
    <w:rsid w:val="00101139"/>
    <w:rsid w:val="0010120A"/>
    <w:rsid w:val="0010488C"/>
    <w:rsid w:val="00104FF3"/>
    <w:rsid w:val="00105464"/>
    <w:rsid w:val="001124D9"/>
    <w:rsid w:val="00112814"/>
    <w:rsid w:val="001148A4"/>
    <w:rsid w:val="001152ED"/>
    <w:rsid w:val="001166FD"/>
    <w:rsid w:val="00121EDC"/>
    <w:rsid w:val="001240C3"/>
    <w:rsid w:val="0012705C"/>
    <w:rsid w:val="001273EF"/>
    <w:rsid w:val="00130429"/>
    <w:rsid w:val="00133760"/>
    <w:rsid w:val="001401BE"/>
    <w:rsid w:val="00142F05"/>
    <w:rsid w:val="00143D9C"/>
    <w:rsid w:val="00144076"/>
    <w:rsid w:val="001474FE"/>
    <w:rsid w:val="00151FAF"/>
    <w:rsid w:val="001614E5"/>
    <w:rsid w:val="00164407"/>
    <w:rsid w:val="00164AB3"/>
    <w:rsid w:val="00165632"/>
    <w:rsid w:val="00175B77"/>
    <w:rsid w:val="00177C42"/>
    <w:rsid w:val="001819D4"/>
    <w:rsid w:val="001846DD"/>
    <w:rsid w:val="00185332"/>
    <w:rsid w:val="0018547D"/>
    <w:rsid w:val="00187D54"/>
    <w:rsid w:val="00187DE3"/>
    <w:rsid w:val="00190865"/>
    <w:rsid w:val="00194EA0"/>
    <w:rsid w:val="00197921"/>
    <w:rsid w:val="001A0278"/>
    <w:rsid w:val="001A1E4D"/>
    <w:rsid w:val="001A60AA"/>
    <w:rsid w:val="001C0119"/>
    <w:rsid w:val="001C09C0"/>
    <w:rsid w:val="001C740B"/>
    <w:rsid w:val="001C7568"/>
    <w:rsid w:val="001E0013"/>
    <w:rsid w:val="001E03C2"/>
    <w:rsid w:val="001E0F61"/>
    <w:rsid w:val="001E1261"/>
    <w:rsid w:val="001E1676"/>
    <w:rsid w:val="001E3CBD"/>
    <w:rsid w:val="001F0F20"/>
    <w:rsid w:val="001F48A4"/>
    <w:rsid w:val="001F517E"/>
    <w:rsid w:val="001F5A50"/>
    <w:rsid w:val="001F737F"/>
    <w:rsid w:val="00201249"/>
    <w:rsid w:val="00202E9E"/>
    <w:rsid w:val="002032AB"/>
    <w:rsid w:val="002047B1"/>
    <w:rsid w:val="00205BBC"/>
    <w:rsid w:val="00211E96"/>
    <w:rsid w:val="00213B5C"/>
    <w:rsid w:val="002176BB"/>
    <w:rsid w:val="00222EA1"/>
    <w:rsid w:val="00227282"/>
    <w:rsid w:val="00233149"/>
    <w:rsid w:val="002361D9"/>
    <w:rsid w:val="002378C1"/>
    <w:rsid w:val="00241D08"/>
    <w:rsid w:val="002438E0"/>
    <w:rsid w:val="00243B47"/>
    <w:rsid w:val="002446CD"/>
    <w:rsid w:val="00244F2E"/>
    <w:rsid w:val="00245A7F"/>
    <w:rsid w:val="002534F4"/>
    <w:rsid w:val="00253CB4"/>
    <w:rsid w:val="0025418A"/>
    <w:rsid w:val="00257201"/>
    <w:rsid w:val="002627C1"/>
    <w:rsid w:val="00264D76"/>
    <w:rsid w:val="002655BC"/>
    <w:rsid w:val="002713D3"/>
    <w:rsid w:val="0027200F"/>
    <w:rsid w:val="00273468"/>
    <w:rsid w:val="0027433B"/>
    <w:rsid w:val="00275D38"/>
    <w:rsid w:val="00276C60"/>
    <w:rsid w:val="00277371"/>
    <w:rsid w:val="0029049C"/>
    <w:rsid w:val="00291055"/>
    <w:rsid w:val="00295871"/>
    <w:rsid w:val="00297E04"/>
    <w:rsid w:val="002A23F6"/>
    <w:rsid w:val="002A2A0A"/>
    <w:rsid w:val="002A2B82"/>
    <w:rsid w:val="002A3A05"/>
    <w:rsid w:val="002A74EB"/>
    <w:rsid w:val="002B480C"/>
    <w:rsid w:val="002B6395"/>
    <w:rsid w:val="002C4865"/>
    <w:rsid w:val="002C6F1A"/>
    <w:rsid w:val="002C7C5C"/>
    <w:rsid w:val="002D0F74"/>
    <w:rsid w:val="002D407C"/>
    <w:rsid w:val="002D5273"/>
    <w:rsid w:val="002E2723"/>
    <w:rsid w:val="002E2A2C"/>
    <w:rsid w:val="003008A9"/>
    <w:rsid w:val="003024AB"/>
    <w:rsid w:val="00303858"/>
    <w:rsid w:val="00304962"/>
    <w:rsid w:val="00310409"/>
    <w:rsid w:val="00310C55"/>
    <w:rsid w:val="00315F86"/>
    <w:rsid w:val="0032021E"/>
    <w:rsid w:val="003223F0"/>
    <w:rsid w:val="00323A7E"/>
    <w:rsid w:val="00326A38"/>
    <w:rsid w:val="0032775F"/>
    <w:rsid w:val="003353E0"/>
    <w:rsid w:val="003362B9"/>
    <w:rsid w:val="00336BDE"/>
    <w:rsid w:val="00337029"/>
    <w:rsid w:val="00337303"/>
    <w:rsid w:val="00341006"/>
    <w:rsid w:val="0034354C"/>
    <w:rsid w:val="00352B7C"/>
    <w:rsid w:val="00361DDB"/>
    <w:rsid w:val="0036222B"/>
    <w:rsid w:val="00363E7D"/>
    <w:rsid w:val="00365B24"/>
    <w:rsid w:val="00370D7E"/>
    <w:rsid w:val="003743C0"/>
    <w:rsid w:val="00374E26"/>
    <w:rsid w:val="0038603F"/>
    <w:rsid w:val="0039042A"/>
    <w:rsid w:val="00393791"/>
    <w:rsid w:val="00395210"/>
    <w:rsid w:val="003A25D2"/>
    <w:rsid w:val="003A358F"/>
    <w:rsid w:val="003B0A7B"/>
    <w:rsid w:val="003B6EF5"/>
    <w:rsid w:val="003B7617"/>
    <w:rsid w:val="003C259D"/>
    <w:rsid w:val="003C3F24"/>
    <w:rsid w:val="003C5229"/>
    <w:rsid w:val="003C7EA6"/>
    <w:rsid w:val="003D1571"/>
    <w:rsid w:val="003D298A"/>
    <w:rsid w:val="003D3104"/>
    <w:rsid w:val="003D377B"/>
    <w:rsid w:val="003D6999"/>
    <w:rsid w:val="003D70FF"/>
    <w:rsid w:val="003D76FB"/>
    <w:rsid w:val="003E0451"/>
    <w:rsid w:val="003E1FA0"/>
    <w:rsid w:val="003E200B"/>
    <w:rsid w:val="003E21C0"/>
    <w:rsid w:val="003E22BB"/>
    <w:rsid w:val="003E3D1A"/>
    <w:rsid w:val="003F3D4A"/>
    <w:rsid w:val="003F52D8"/>
    <w:rsid w:val="004005C2"/>
    <w:rsid w:val="004016BD"/>
    <w:rsid w:val="004023AF"/>
    <w:rsid w:val="00402960"/>
    <w:rsid w:val="004104F7"/>
    <w:rsid w:val="00411714"/>
    <w:rsid w:val="00411A94"/>
    <w:rsid w:val="00414156"/>
    <w:rsid w:val="004206FE"/>
    <w:rsid w:val="0042198B"/>
    <w:rsid w:val="004311BB"/>
    <w:rsid w:val="00437A65"/>
    <w:rsid w:val="004450F9"/>
    <w:rsid w:val="00454698"/>
    <w:rsid w:val="0046454E"/>
    <w:rsid w:val="0047179C"/>
    <w:rsid w:val="00472564"/>
    <w:rsid w:val="00473ED6"/>
    <w:rsid w:val="0047578F"/>
    <w:rsid w:val="0049223C"/>
    <w:rsid w:val="0049233D"/>
    <w:rsid w:val="004923FA"/>
    <w:rsid w:val="00492F98"/>
    <w:rsid w:val="0049451A"/>
    <w:rsid w:val="004A0CAB"/>
    <w:rsid w:val="004A2B3E"/>
    <w:rsid w:val="004A3E91"/>
    <w:rsid w:val="004A758C"/>
    <w:rsid w:val="004B0ABB"/>
    <w:rsid w:val="004B2D13"/>
    <w:rsid w:val="004B43EB"/>
    <w:rsid w:val="004B71A9"/>
    <w:rsid w:val="004C0910"/>
    <w:rsid w:val="004C309A"/>
    <w:rsid w:val="004C60F2"/>
    <w:rsid w:val="004C7CB8"/>
    <w:rsid w:val="004D1244"/>
    <w:rsid w:val="004E0E87"/>
    <w:rsid w:val="004E224F"/>
    <w:rsid w:val="004E3C5C"/>
    <w:rsid w:val="004E5662"/>
    <w:rsid w:val="004F44B9"/>
    <w:rsid w:val="004F6640"/>
    <w:rsid w:val="0050002C"/>
    <w:rsid w:val="00502105"/>
    <w:rsid w:val="005040B9"/>
    <w:rsid w:val="0051209D"/>
    <w:rsid w:val="00516738"/>
    <w:rsid w:val="005216C3"/>
    <w:rsid w:val="005236BB"/>
    <w:rsid w:val="005258E9"/>
    <w:rsid w:val="00530E48"/>
    <w:rsid w:val="005319AE"/>
    <w:rsid w:val="00532FEE"/>
    <w:rsid w:val="0053474E"/>
    <w:rsid w:val="00535B20"/>
    <w:rsid w:val="00541443"/>
    <w:rsid w:val="0054145D"/>
    <w:rsid w:val="00545BCE"/>
    <w:rsid w:val="00552299"/>
    <w:rsid w:val="0055490F"/>
    <w:rsid w:val="00555BD0"/>
    <w:rsid w:val="0055680A"/>
    <w:rsid w:val="0056365D"/>
    <w:rsid w:val="00564215"/>
    <w:rsid w:val="00566E44"/>
    <w:rsid w:val="00567498"/>
    <w:rsid w:val="005738C3"/>
    <w:rsid w:val="005820F8"/>
    <w:rsid w:val="0058383E"/>
    <w:rsid w:val="0058758D"/>
    <w:rsid w:val="00591192"/>
    <w:rsid w:val="00594929"/>
    <w:rsid w:val="005949BF"/>
    <w:rsid w:val="00597189"/>
    <w:rsid w:val="00597DF0"/>
    <w:rsid w:val="005A057F"/>
    <w:rsid w:val="005A0D88"/>
    <w:rsid w:val="005A1C28"/>
    <w:rsid w:val="005A1C4C"/>
    <w:rsid w:val="005A3C6B"/>
    <w:rsid w:val="005A6557"/>
    <w:rsid w:val="005B06F0"/>
    <w:rsid w:val="005B1162"/>
    <w:rsid w:val="005B1204"/>
    <w:rsid w:val="005B1420"/>
    <w:rsid w:val="005B29F5"/>
    <w:rsid w:val="005B39D1"/>
    <w:rsid w:val="005B424A"/>
    <w:rsid w:val="005B595C"/>
    <w:rsid w:val="005B603C"/>
    <w:rsid w:val="005B79DA"/>
    <w:rsid w:val="005C1561"/>
    <w:rsid w:val="005C317C"/>
    <w:rsid w:val="005C5114"/>
    <w:rsid w:val="005C6297"/>
    <w:rsid w:val="005C654D"/>
    <w:rsid w:val="005C70F4"/>
    <w:rsid w:val="005D09EC"/>
    <w:rsid w:val="005D4FE5"/>
    <w:rsid w:val="005D7738"/>
    <w:rsid w:val="005D77DC"/>
    <w:rsid w:val="005E1756"/>
    <w:rsid w:val="005F528F"/>
    <w:rsid w:val="005F5393"/>
    <w:rsid w:val="005F727E"/>
    <w:rsid w:val="005F7304"/>
    <w:rsid w:val="00600AF4"/>
    <w:rsid w:val="00601130"/>
    <w:rsid w:val="00610144"/>
    <w:rsid w:val="0061490B"/>
    <w:rsid w:val="00615CAE"/>
    <w:rsid w:val="00615D1A"/>
    <w:rsid w:val="006205ED"/>
    <w:rsid w:val="006269CE"/>
    <w:rsid w:val="00627526"/>
    <w:rsid w:val="00643EDD"/>
    <w:rsid w:val="006450E9"/>
    <w:rsid w:val="00646277"/>
    <w:rsid w:val="00646E7E"/>
    <w:rsid w:val="0065027F"/>
    <w:rsid w:val="00661E88"/>
    <w:rsid w:val="006623FB"/>
    <w:rsid w:val="00665CF4"/>
    <w:rsid w:val="00670162"/>
    <w:rsid w:val="006709A3"/>
    <w:rsid w:val="00676C22"/>
    <w:rsid w:val="00680F0D"/>
    <w:rsid w:val="0068194F"/>
    <w:rsid w:val="0068680A"/>
    <w:rsid w:val="0069014A"/>
    <w:rsid w:val="00694710"/>
    <w:rsid w:val="0069476E"/>
    <w:rsid w:val="00697959"/>
    <w:rsid w:val="00697B46"/>
    <w:rsid w:val="006A0B3B"/>
    <w:rsid w:val="006A0C45"/>
    <w:rsid w:val="006B3787"/>
    <w:rsid w:val="006B6403"/>
    <w:rsid w:val="006C2AC8"/>
    <w:rsid w:val="006C39DF"/>
    <w:rsid w:val="006C4328"/>
    <w:rsid w:val="006C4A02"/>
    <w:rsid w:val="006C53AA"/>
    <w:rsid w:val="006C60D9"/>
    <w:rsid w:val="006D3065"/>
    <w:rsid w:val="006D6CD5"/>
    <w:rsid w:val="006D7B43"/>
    <w:rsid w:val="006E39CE"/>
    <w:rsid w:val="006E582B"/>
    <w:rsid w:val="006E6932"/>
    <w:rsid w:val="006E774B"/>
    <w:rsid w:val="006F0DB2"/>
    <w:rsid w:val="006F3275"/>
    <w:rsid w:val="00705049"/>
    <w:rsid w:val="00710EAB"/>
    <w:rsid w:val="00714BDA"/>
    <w:rsid w:val="00717EAB"/>
    <w:rsid w:val="00722BA9"/>
    <w:rsid w:val="00727400"/>
    <w:rsid w:val="00731071"/>
    <w:rsid w:val="0073143B"/>
    <w:rsid w:val="00732C09"/>
    <w:rsid w:val="007353F2"/>
    <w:rsid w:val="007361D0"/>
    <w:rsid w:val="00736A15"/>
    <w:rsid w:val="00742FD2"/>
    <w:rsid w:val="007442A6"/>
    <w:rsid w:val="00756CCF"/>
    <w:rsid w:val="007621FD"/>
    <w:rsid w:val="0076249A"/>
    <w:rsid w:val="007655D6"/>
    <w:rsid w:val="00771AE1"/>
    <w:rsid w:val="00772365"/>
    <w:rsid w:val="0077324D"/>
    <w:rsid w:val="007735EA"/>
    <w:rsid w:val="00774043"/>
    <w:rsid w:val="007807AE"/>
    <w:rsid w:val="00783209"/>
    <w:rsid w:val="007851B5"/>
    <w:rsid w:val="0078765A"/>
    <w:rsid w:val="00787FF6"/>
    <w:rsid w:val="00791723"/>
    <w:rsid w:val="007937A5"/>
    <w:rsid w:val="00794A5C"/>
    <w:rsid w:val="00795DD0"/>
    <w:rsid w:val="0079677C"/>
    <w:rsid w:val="007A0CA9"/>
    <w:rsid w:val="007A42F6"/>
    <w:rsid w:val="007B2945"/>
    <w:rsid w:val="007B55D4"/>
    <w:rsid w:val="007B7543"/>
    <w:rsid w:val="007C08BE"/>
    <w:rsid w:val="007C0A1C"/>
    <w:rsid w:val="007C1720"/>
    <w:rsid w:val="007C3345"/>
    <w:rsid w:val="007C65D0"/>
    <w:rsid w:val="007C66CC"/>
    <w:rsid w:val="007C7BF9"/>
    <w:rsid w:val="007C7FDD"/>
    <w:rsid w:val="007D0459"/>
    <w:rsid w:val="007D31EC"/>
    <w:rsid w:val="007D464E"/>
    <w:rsid w:val="007D57F3"/>
    <w:rsid w:val="007E31F0"/>
    <w:rsid w:val="007E4949"/>
    <w:rsid w:val="007E5997"/>
    <w:rsid w:val="007F0F43"/>
    <w:rsid w:val="0080543D"/>
    <w:rsid w:val="0080648D"/>
    <w:rsid w:val="00807959"/>
    <w:rsid w:val="008109EF"/>
    <w:rsid w:val="00811AD8"/>
    <w:rsid w:val="00813AE3"/>
    <w:rsid w:val="00816339"/>
    <w:rsid w:val="00816405"/>
    <w:rsid w:val="008165E4"/>
    <w:rsid w:val="00816723"/>
    <w:rsid w:val="00820579"/>
    <w:rsid w:val="00826D8A"/>
    <w:rsid w:val="0083390F"/>
    <w:rsid w:val="008361EA"/>
    <w:rsid w:val="00841477"/>
    <w:rsid w:val="0084539C"/>
    <w:rsid w:val="00866A44"/>
    <w:rsid w:val="00871DCE"/>
    <w:rsid w:val="00872E61"/>
    <w:rsid w:val="008733D6"/>
    <w:rsid w:val="00875CDC"/>
    <w:rsid w:val="00881E34"/>
    <w:rsid w:val="00882A9D"/>
    <w:rsid w:val="008900FB"/>
    <w:rsid w:val="0089190C"/>
    <w:rsid w:val="00893786"/>
    <w:rsid w:val="00894D4D"/>
    <w:rsid w:val="008A1701"/>
    <w:rsid w:val="008A1B44"/>
    <w:rsid w:val="008A3C89"/>
    <w:rsid w:val="008A5282"/>
    <w:rsid w:val="008A5CFF"/>
    <w:rsid w:val="008A76D0"/>
    <w:rsid w:val="008B1086"/>
    <w:rsid w:val="008B23AB"/>
    <w:rsid w:val="008B5F1D"/>
    <w:rsid w:val="008B6FC6"/>
    <w:rsid w:val="008C0F0D"/>
    <w:rsid w:val="008C2B85"/>
    <w:rsid w:val="008C5A55"/>
    <w:rsid w:val="008C5A8D"/>
    <w:rsid w:val="008D41F3"/>
    <w:rsid w:val="008D6672"/>
    <w:rsid w:val="008D68B4"/>
    <w:rsid w:val="008D741F"/>
    <w:rsid w:val="008E3563"/>
    <w:rsid w:val="008E611F"/>
    <w:rsid w:val="008F05FD"/>
    <w:rsid w:val="008F0A50"/>
    <w:rsid w:val="008F1CDE"/>
    <w:rsid w:val="008F233E"/>
    <w:rsid w:val="008F29F8"/>
    <w:rsid w:val="00903809"/>
    <w:rsid w:val="009069C6"/>
    <w:rsid w:val="00910623"/>
    <w:rsid w:val="0091230C"/>
    <w:rsid w:val="00913171"/>
    <w:rsid w:val="00915BDB"/>
    <w:rsid w:val="009218D6"/>
    <w:rsid w:val="00922813"/>
    <w:rsid w:val="00923541"/>
    <w:rsid w:val="00924572"/>
    <w:rsid w:val="00924B9B"/>
    <w:rsid w:val="009277F6"/>
    <w:rsid w:val="00933A05"/>
    <w:rsid w:val="00937075"/>
    <w:rsid w:val="00937A5A"/>
    <w:rsid w:val="009425D3"/>
    <w:rsid w:val="0094509E"/>
    <w:rsid w:val="00950276"/>
    <w:rsid w:val="0095095C"/>
    <w:rsid w:val="00950E1F"/>
    <w:rsid w:val="00950FB2"/>
    <w:rsid w:val="00951930"/>
    <w:rsid w:val="00951C20"/>
    <w:rsid w:val="009530F5"/>
    <w:rsid w:val="00953CCD"/>
    <w:rsid w:val="009545AC"/>
    <w:rsid w:val="00957278"/>
    <w:rsid w:val="00960B9F"/>
    <w:rsid w:val="0096145F"/>
    <w:rsid w:val="00963E43"/>
    <w:rsid w:val="00967831"/>
    <w:rsid w:val="00971244"/>
    <w:rsid w:val="00971732"/>
    <w:rsid w:val="0098145D"/>
    <w:rsid w:val="0098191F"/>
    <w:rsid w:val="009819D4"/>
    <w:rsid w:val="009823FD"/>
    <w:rsid w:val="00991071"/>
    <w:rsid w:val="00991410"/>
    <w:rsid w:val="00992B11"/>
    <w:rsid w:val="009A0615"/>
    <w:rsid w:val="009A0FD8"/>
    <w:rsid w:val="009A3142"/>
    <w:rsid w:val="009A49AC"/>
    <w:rsid w:val="009A6E2C"/>
    <w:rsid w:val="009B24CA"/>
    <w:rsid w:val="009B4817"/>
    <w:rsid w:val="009B4F54"/>
    <w:rsid w:val="009B69AA"/>
    <w:rsid w:val="009C3461"/>
    <w:rsid w:val="009C501C"/>
    <w:rsid w:val="009C51EE"/>
    <w:rsid w:val="009C5D69"/>
    <w:rsid w:val="009D63EB"/>
    <w:rsid w:val="009D6CB8"/>
    <w:rsid w:val="009D72C7"/>
    <w:rsid w:val="009E4BA8"/>
    <w:rsid w:val="009E7B2F"/>
    <w:rsid w:val="00A006A4"/>
    <w:rsid w:val="00A00E55"/>
    <w:rsid w:val="00A027B1"/>
    <w:rsid w:val="00A029E0"/>
    <w:rsid w:val="00A02B09"/>
    <w:rsid w:val="00A03B33"/>
    <w:rsid w:val="00A0658F"/>
    <w:rsid w:val="00A0712B"/>
    <w:rsid w:val="00A126E2"/>
    <w:rsid w:val="00A13F7B"/>
    <w:rsid w:val="00A14255"/>
    <w:rsid w:val="00A14CC3"/>
    <w:rsid w:val="00A150E3"/>
    <w:rsid w:val="00A1647B"/>
    <w:rsid w:val="00A167A6"/>
    <w:rsid w:val="00A17797"/>
    <w:rsid w:val="00A206EB"/>
    <w:rsid w:val="00A21B92"/>
    <w:rsid w:val="00A25068"/>
    <w:rsid w:val="00A25BEE"/>
    <w:rsid w:val="00A260DB"/>
    <w:rsid w:val="00A32367"/>
    <w:rsid w:val="00A33D81"/>
    <w:rsid w:val="00A34098"/>
    <w:rsid w:val="00A35EA7"/>
    <w:rsid w:val="00A401B3"/>
    <w:rsid w:val="00A50CD6"/>
    <w:rsid w:val="00A54762"/>
    <w:rsid w:val="00A55275"/>
    <w:rsid w:val="00A5564E"/>
    <w:rsid w:val="00A5582E"/>
    <w:rsid w:val="00A569B1"/>
    <w:rsid w:val="00A604E3"/>
    <w:rsid w:val="00A61048"/>
    <w:rsid w:val="00A63324"/>
    <w:rsid w:val="00A653CE"/>
    <w:rsid w:val="00A6600F"/>
    <w:rsid w:val="00A71A53"/>
    <w:rsid w:val="00A730AD"/>
    <w:rsid w:val="00A7347D"/>
    <w:rsid w:val="00A73D3A"/>
    <w:rsid w:val="00A75622"/>
    <w:rsid w:val="00A82296"/>
    <w:rsid w:val="00A829BE"/>
    <w:rsid w:val="00A96F96"/>
    <w:rsid w:val="00AA4F94"/>
    <w:rsid w:val="00AB4073"/>
    <w:rsid w:val="00AB612E"/>
    <w:rsid w:val="00AB6DD9"/>
    <w:rsid w:val="00AB7F2C"/>
    <w:rsid w:val="00AC039A"/>
    <w:rsid w:val="00AC2103"/>
    <w:rsid w:val="00AC293F"/>
    <w:rsid w:val="00AC3439"/>
    <w:rsid w:val="00AC642C"/>
    <w:rsid w:val="00AD172D"/>
    <w:rsid w:val="00AD26B7"/>
    <w:rsid w:val="00AD3508"/>
    <w:rsid w:val="00AD59C9"/>
    <w:rsid w:val="00AD7609"/>
    <w:rsid w:val="00AE4BB6"/>
    <w:rsid w:val="00AE60C5"/>
    <w:rsid w:val="00AF2708"/>
    <w:rsid w:val="00AF61B9"/>
    <w:rsid w:val="00B0276A"/>
    <w:rsid w:val="00B07357"/>
    <w:rsid w:val="00B1325B"/>
    <w:rsid w:val="00B1445F"/>
    <w:rsid w:val="00B146B7"/>
    <w:rsid w:val="00B14A84"/>
    <w:rsid w:val="00B16D65"/>
    <w:rsid w:val="00B17ABA"/>
    <w:rsid w:val="00B21DF2"/>
    <w:rsid w:val="00B23C71"/>
    <w:rsid w:val="00B24EC3"/>
    <w:rsid w:val="00B271CE"/>
    <w:rsid w:val="00B3014D"/>
    <w:rsid w:val="00B34A6F"/>
    <w:rsid w:val="00B42332"/>
    <w:rsid w:val="00B52A52"/>
    <w:rsid w:val="00B53BB4"/>
    <w:rsid w:val="00B54C9E"/>
    <w:rsid w:val="00B5661D"/>
    <w:rsid w:val="00B570D2"/>
    <w:rsid w:val="00B574A6"/>
    <w:rsid w:val="00B6048C"/>
    <w:rsid w:val="00B613A2"/>
    <w:rsid w:val="00B64607"/>
    <w:rsid w:val="00B6593A"/>
    <w:rsid w:val="00B70E89"/>
    <w:rsid w:val="00B7288F"/>
    <w:rsid w:val="00B75ABF"/>
    <w:rsid w:val="00B75BDE"/>
    <w:rsid w:val="00B7692F"/>
    <w:rsid w:val="00B770E5"/>
    <w:rsid w:val="00B77C04"/>
    <w:rsid w:val="00B77F12"/>
    <w:rsid w:val="00B80978"/>
    <w:rsid w:val="00B81314"/>
    <w:rsid w:val="00B85A4B"/>
    <w:rsid w:val="00B87BBE"/>
    <w:rsid w:val="00B87F94"/>
    <w:rsid w:val="00B905DD"/>
    <w:rsid w:val="00B915B3"/>
    <w:rsid w:val="00B9196E"/>
    <w:rsid w:val="00B92093"/>
    <w:rsid w:val="00B94CCB"/>
    <w:rsid w:val="00B95CC6"/>
    <w:rsid w:val="00BA20CA"/>
    <w:rsid w:val="00BA5843"/>
    <w:rsid w:val="00BA5EB9"/>
    <w:rsid w:val="00BB2181"/>
    <w:rsid w:val="00BB73FF"/>
    <w:rsid w:val="00BC16E1"/>
    <w:rsid w:val="00BC4AAB"/>
    <w:rsid w:val="00BC7E2F"/>
    <w:rsid w:val="00BD4BD3"/>
    <w:rsid w:val="00BD7F12"/>
    <w:rsid w:val="00BE307D"/>
    <w:rsid w:val="00BE37AB"/>
    <w:rsid w:val="00BE3E70"/>
    <w:rsid w:val="00BE59AB"/>
    <w:rsid w:val="00BF67F3"/>
    <w:rsid w:val="00C06526"/>
    <w:rsid w:val="00C133F6"/>
    <w:rsid w:val="00C13A41"/>
    <w:rsid w:val="00C148DA"/>
    <w:rsid w:val="00C219D7"/>
    <w:rsid w:val="00C2550F"/>
    <w:rsid w:val="00C32DF6"/>
    <w:rsid w:val="00C35001"/>
    <w:rsid w:val="00C353FA"/>
    <w:rsid w:val="00C40267"/>
    <w:rsid w:val="00C46520"/>
    <w:rsid w:val="00C47E3E"/>
    <w:rsid w:val="00C543D3"/>
    <w:rsid w:val="00C640A2"/>
    <w:rsid w:val="00C6631C"/>
    <w:rsid w:val="00C75A58"/>
    <w:rsid w:val="00C7672F"/>
    <w:rsid w:val="00C77D9D"/>
    <w:rsid w:val="00C82D89"/>
    <w:rsid w:val="00C84624"/>
    <w:rsid w:val="00CA5628"/>
    <w:rsid w:val="00CB0332"/>
    <w:rsid w:val="00CB05FC"/>
    <w:rsid w:val="00CB3003"/>
    <w:rsid w:val="00CB5DC5"/>
    <w:rsid w:val="00CC32DD"/>
    <w:rsid w:val="00CC4602"/>
    <w:rsid w:val="00CD0E11"/>
    <w:rsid w:val="00CD5D18"/>
    <w:rsid w:val="00CD5EE8"/>
    <w:rsid w:val="00CE0456"/>
    <w:rsid w:val="00CE18C2"/>
    <w:rsid w:val="00CE21C5"/>
    <w:rsid w:val="00CF0F21"/>
    <w:rsid w:val="00CF2EA3"/>
    <w:rsid w:val="00CF4C01"/>
    <w:rsid w:val="00CF7685"/>
    <w:rsid w:val="00D0393B"/>
    <w:rsid w:val="00D0398B"/>
    <w:rsid w:val="00D064F0"/>
    <w:rsid w:val="00D07DA5"/>
    <w:rsid w:val="00D10B1F"/>
    <w:rsid w:val="00D12177"/>
    <w:rsid w:val="00D1290F"/>
    <w:rsid w:val="00D13B74"/>
    <w:rsid w:val="00D1418B"/>
    <w:rsid w:val="00D23551"/>
    <w:rsid w:val="00D26286"/>
    <w:rsid w:val="00D27FF8"/>
    <w:rsid w:val="00D30B1D"/>
    <w:rsid w:val="00D31A26"/>
    <w:rsid w:val="00D32650"/>
    <w:rsid w:val="00D42423"/>
    <w:rsid w:val="00D44277"/>
    <w:rsid w:val="00D464C3"/>
    <w:rsid w:val="00D4666E"/>
    <w:rsid w:val="00D512D3"/>
    <w:rsid w:val="00D52122"/>
    <w:rsid w:val="00D547EC"/>
    <w:rsid w:val="00D55289"/>
    <w:rsid w:val="00D6460E"/>
    <w:rsid w:val="00D67910"/>
    <w:rsid w:val="00D70991"/>
    <w:rsid w:val="00D776D5"/>
    <w:rsid w:val="00D811E1"/>
    <w:rsid w:val="00D82BF0"/>
    <w:rsid w:val="00D8599E"/>
    <w:rsid w:val="00D87447"/>
    <w:rsid w:val="00D90C9E"/>
    <w:rsid w:val="00D921F4"/>
    <w:rsid w:val="00D92D89"/>
    <w:rsid w:val="00D93365"/>
    <w:rsid w:val="00D94AE0"/>
    <w:rsid w:val="00DA1DF8"/>
    <w:rsid w:val="00DA74B2"/>
    <w:rsid w:val="00DA7E62"/>
    <w:rsid w:val="00DB044C"/>
    <w:rsid w:val="00DB1EE6"/>
    <w:rsid w:val="00DB352A"/>
    <w:rsid w:val="00DB4424"/>
    <w:rsid w:val="00DC0C28"/>
    <w:rsid w:val="00DC3D5C"/>
    <w:rsid w:val="00DC4BE5"/>
    <w:rsid w:val="00DC5325"/>
    <w:rsid w:val="00DC5D22"/>
    <w:rsid w:val="00DD182D"/>
    <w:rsid w:val="00DD4926"/>
    <w:rsid w:val="00DE443F"/>
    <w:rsid w:val="00DE4EBB"/>
    <w:rsid w:val="00DE63CC"/>
    <w:rsid w:val="00DE6766"/>
    <w:rsid w:val="00DE787B"/>
    <w:rsid w:val="00DF4A9A"/>
    <w:rsid w:val="00DF6345"/>
    <w:rsid w:val="00DF777E"/>
    <w:rsid w:val="00E1190B"/>
    <w:rsid w:val="00E1217E"/>
    <w:rsid w:val="00E13D42"/>
    <w:rsid w:val="00E15147"/>
    <w:rsid w:val="00E1626C"/>
    <w:rsid w:val="00E173E3"/>
    <w:rsid w:val="00E224A2"/>
    <w:rsid w:val="00E23A28"/>
    <w:rsid w:val="00E24F81"/>
    <w:rsid w:val="00E25962"/>
    <w:rsid w:val="00E274A7"/>
    <w:rsid w:val="00E34A1B"/>
    <w:rsid w:val="00E3520A"/>
    <w:rsid w:val="00E356F1"/>
    <w:rsid w:val="00E41632"/>
    <w:rsid w:val="00E42E76"/>
    <w:rsid w:val="00E43FF5"/>
    <w:rsid w:val="00E44D5D"/>
    <w:rsid w:val="00E4623A"/>
    <w:rsid w:val="00E466B0"/>
    <w:rsid w:val="00E46A2E"/>
    <w:rsid w:val="00E501C3"/>
    <w:rsid w:val="00E50258"/>
    <w:rsid w:val="00E50C50"/>
    <w:rsid w:val="00E527EB"/>
    <w:rsid w:val="00E56DD0"/>
    <w:rsid w:val="00E60D8B"/>
    <w:rsid w:val="00E61C11"/>
    <w:rsid w:val="00E65810"/>
    <w:rsid w:val="00E66A20"/>
    <w:rsid w:val="00E673E5"/>
    <w:rsid w:val="00E75A7F"/>
    <w:rsid w:val="00E75AEF"/>
    <w:rsid w:val="00E75B40"/>
    <w:rsid w:val="00E7696B"/>
    <w:rsid w:val="00E7751B"/>
    <w:rsid w:val="00E81D75"/>
    <w:rsid w:val="00E822FD"/>
    <w:rsid w:val="00E833A9"/>
    <w:rsid w:val="00E834BF"/>
    <w:rsid w:val="00E85E15"/>
    <w:rsid w:val="00E91144"/>
    <w:rsid w:val="00E96927"/>
    <w:rsid w:val="00EA0D06"/>
    <w:rsid w:val="00EA25B6"/>
    <w:rsid w:val="00EA348D"/>
    <w:rsid w:val="00EA7568"/>
    <w:rsid w:val="00EB2C11"/>
    <w:rsid w:val="00EB3E9D"/>
    <w:rsid w:val="00EC0D24"/>
    <w:rsid w:val="00EC1AA2"/>
    <w:rsid w:val="00EC1B2C"/>
    <w:rsid w:val="00EC36EB"/>
    <w:rsid w:val="00EC4CD5"/>
    <w:rsid w:val="00EC50A3"/>
    <w:rsid w:val="00EC54F3"/>
    <w:rsid w:val="00EC6523"/>
    <w:rsid w:val="00EC6828"/>
    <w:rsid w:val="00ED0DDF"/>
    <w:rsid w:val="00ED1823"/>
    <w:rsid w:val="00ED3875"/>
    <w:rsid w:val="00ED4FDB"/>
    <w:rsid w:val="00EE17C0"/>
    <w:rsid w:val="00EE478B"/>
    <w:rsid w:val="00EE6BD2"/>
    <w:rsid w:val="00EE7BEE"/>
    <w:rsid w:val="00EF077F"/>
    <w:rsid w:val="00EF2CC0"/>
    <w:rsid w:val="00EF67A8"/>
    <w:rsid w:val="00EF75E6"/>
    <w:rsid w:val="00EF7E4B"/>
    <w:rsid w:val="00F007C6"/>
    <w:rsid w:val="00F013F8"/>
    <w:rsid w:val="00F054F3"/>
    <w:rsid w:val="00F06022"/>
    <w:rsid w:val="00F10C3D"/>
    <w:rsid w:val="00F10FD3"/>
    <w:rsid w:val="00F16F69"/>
    <w:rsid w:val="00F2114F"/>
    <w:rsid w:val="00F21634"/>
    <w:rsid w:val="00F22D30"/>
    <w:rsid w:val="00F23622"/>
    <w:rsid w:val="00F25AC9"/>
    <w:rsid w:val="00F25B96"/>
    <w:rsid w:val="00F37429"/>
    <w:rsid w:val="00F413E2"/>
    <w:rsid w:val="00F41D50"/>
    <w:rsid w:val="00F42466"/>
    <w:rsid w:val="00F4744E"/>
    <w:rsid w:val="00F53637"/>
    <w:rsid w:val="00F5440A"/>
    <w:rsid w:val="00F5799E"/>
    <w:rsid w:val="00F607FE"/>
    <w:rsid w:val="00F6261D"/>
    <w:rsid w:val="00F67C8A"/>
    <w:rsid w:val="00F739E2"/>
    <w:rsid w:val="00F73BBB"/>
    <w:rsid w:val="00F73D72"/>
    <w:rsid w:val="00F742E1"/>
    <w:rsid w:val="00F74546"/>
    <w:rsid w:val="00F749E6"/>
    <w:rsid w:val="00F74B56"/>
    <w:rsid w:val="00F77529"/>
    <w:rsid w:val="00F8075D"/>
    <w:rsid w:val="00F82DD9"/>
    <w:rsid w:val="00F8496E"/>
    <w:rsid w:val="00F9169A"/>
    <w:rsid w:val="00F91C40"/>
    <w:rsid w:val="00FA229D"/>
    <w:rsid w:val="00FA3832"/>
    <w:rsid w:val="00FA46F7"/>
    <w:rsid w:val="00FA572C"/>
    <w:rsid w:val="00FB32E3"/>
    <w:rsid w:val="00FC19A2"/>
    <w:rsid w:val="00FC4A4E"/>
    <w:rsid w:val="00FD0418"/>
    <w:rsid w:val="00FD1F10"/>
    <w:rsid w:val="00FD2791"/>
    <w:rsid w:val="00FD64BE"/>
    <w:rsid w:val="00FE067B"/>
    <w:rsid w:val="00FE28EB"/>
    <w:rsid w:val="00FE2A1C"/>
    <w:rsid w:val="00FE606C"/>
    <w:rsid w:val="00FF30FA"/>
    <w:rsid w:val="00FF3494"/>
    <w:rsid w:val="00FF4E63"/>
    <w:rsid w:val="00FF730F"/>
    <w:rsid w:val="00FF7A60"/>
    <w:rsid w:val="00FF7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C6E8C"/>
  <w15:docId w15:val="{5E4946A2-4673-4CBF-A178-8DF605E93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44C"/>
  </w:style>
  <w:style w:type="paragraph" w:styleId="Heading1">
    <w:name w:val="heading 1"/>
    <w:basedOn w:val="Normal"/>
    <w:next w:val="Normal"/>
    <w:link w:val="Heading1Char"/>
    <w:uiPriority w:val="9"/>
    <w:qFormat/>
    <w:rsid w:val="00661E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5F727E"/>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7D045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F727E"/>
    <w:rPr>
      <w:rFonts w:ascii="Times New Roman" w:eastAsia="Times New Roman" w:hAnsi="Times New Roman" w:cs="Times New Roman"/>
      <w:b/>
      <w:szCs w:val="20"/>
    </w:rPr>
  </w:style>
  <w:style w:type="paragraph" w:styleId="BalloonText">
    <w:name w:val="Balloon Text"/>
    <w:basedOn w:val="Normal"/>
    <w:link w:val="BalloonTextChar"/>
    <w:uiPriority w:val="99"/>
    <w:semiHidden/>
    <w:unhideWhenUsed/>
    <w:rsid w:val="005F72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27E"/>
    <w:rPr>
      <w:rFonts w:ascii="Tahoma" w:hAnsi="Tahoma" w:cs="Tahoma"/>
      <w:sz w:val="16"/>
      <w:szCs w:val="16"/>
    </w:rPr>
  </w:style>
  <w:style w:type="paragraph" w:styleId="Header">
    <w:name w:val="header"/>
    <w:basedOn w:val="Normal"/>
    <w:link w:val="HeaderChar"/>
    <w:uiPriority w:val="99"/>
    <w:unhideWhenUsed/>
    <w:rsid w:val="00A20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6EB"/>
  </w:style>
  <w:style w:type="paragraph" w:styleId="Footer">
    <w:name w:val="footer"/>
    <w:basedOn w:val="Normal"/>
    <w:link w:val="FooterChar"/>
    <w:uiPriority w:val="99"/>
    <w:unhideWhenUsed/>
    <w:rsid w:val="00A20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6EB"/>
  </w:style>
  <w:style w:type="character" w:styleId="Hyperlink">
    <w:name w:val="Hyperlink"/>
    <w:basedOn w:val="DefaultParagraphFont"/>
    <w:uiPriority w:val="99"/>
    <w:unhideWhenUsed/>
    <w:rsid w:val="0095095C"/>
    <w:rPr>
      <w:color w:val="0000FF" w:themeColor="hyperlink"/>
      <w:u w:val="single"/>
    </w:rPr>
  </w:style>
  <w:style w:type="paragraph" w:styleId="ListParagraph">
    <w:name w:val="List Paragraph"/>
    <w:basedOn w:val="Normal"/>
    <w:uiPriority w:val="1"/>
    <w:qFormat/>
    <w:rsid w:val="00A25068"/>
    <w:pPr>
      <w:ind w:left="720"/>
      <w:contextualSpacing/>
    </w:pPr>
  </w:style>
  <w:style w:type="table" w:styleId="TableGrid">
    <w:name w:val="Table Grid"/>
    <w:basedOn w:val="TableNormal"/>
    <w:uiPriority w:val="39"/>
    <w:rsid w:val="00A25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5068"/>
    <w:rPr>
      <w:color w:val="808080"/>
    </w:rPr>
  </w:style>
  <w:style w:type="character" w:styleId="Emphasis">
    <w:name w:val="Emphasis"/>
    <w:basedOn w:val="DefaultParagraphFont"/>
    <w:uiPriority w:val="20"/>
    <w:qFormat/>
    <w:rsid w:val="00E13D42"/>
    <w:rPr>
      <w:i/>
      <w:iCs/>
    </w:rPr>
  </w:style>
  <w:style w:type="paragraph" w:styleId="NoSpacing">
    <w:name w:val="No Spacing"/>
    <w:uiPriority w:val="1"/>
    <w:qFormat/>
    <w:rsid w:val="00B16D65"/>
    <w:pPr>
      <w:spacing w:after="0" w:line="240" w:lineRule="auto"/>
    </w:pPr>
  </w:style>
  <w:style w:type="character" w:customStyle="1" w:styleId="form-control-static2">
    <w:name w:val="form-control-static2"/>
    <w:basedOn w:val="DefaultParagraphFont"/>
    <w:rsid w:val="00B16D65"/>
    <w:rPr>
      <w:vanish w:val="0"/>
      <w:webHidden w:val="0"/>
      <w:specVanish w:val="0"/>
    </w:rPr>
  </w:style>
  <w:style w:type="paragraph" w:styleId="Revision">
    <w:name w:val="Revision"/>
    <w:hidden/>
    <w:uiPriority w:val="99"/>
    <w:semiHidden/>
    <w:rsid w:val="00E91144"/>
    <w:pPr>
      <w:spacing w:after="0" w:line="240" w:lineRule="auto"/>
    </w:pPr>
  </w:style>
  <w:style w:type="character" w:styleId="CommentReference">
    <w:name w:val="annotation reference"/>
    <w:basedOn w:val="DefaultParagraphFont"/>
    <w:uiPriority w:val="99"/>
    <w:semiHidden/>
    <w:unhideWhenUsed/>
    <w:rsid w:val="00EF75E6"/>
    <w:rPr>
      <w:sz w:val="16"/>
      <w:szCs w:val="16"/>
    </w:rPr>
  </w:style>
  <w:style w:type="paragraph" w:styleId="CommentText">
    <w:name w:val="annotation text"/>
    <w:basedOn w:val="Normal"/>
    <w:link w:val="CommentTextChar"/>
    <w:uiPriority w:val="99"/>
    <w:unhideWhenUsed/>
    <w:rsid w:val="00EF75E6"/>
    <w:pPr>
      <w:spacing w:line="240" w:lineRule="auto"/>
    </w:pPr>
    <w:rPr>
      <w:sz w:val="20"/>
      <w:szCs w:val="20"/>
    </w:rPr>
  </w:style>
  <w:style w:type="character" w:customStyle="1" w:styleId="CommentTextChar">
    <w:name w:val="Comment Text Char"/>
    <w:basedOn w:val="DefaultParagraphFont"/>
    <w:link w:val="CommentText"/>
    <w:uiPriority w:val="99"/>
    <w:rsid w:val="00EF75E6"/>
    <w:rPr>
      <w:sz w:val="20"/>
      <w:szCs w:val="20"/>
    </w:rPr>
  </w:style>
  <w:style w:type="paragraph" w:styleId="CommentSubject">
    <w:name w:val="annotation subject"/>
    <w:basedOn w:val="CommentText"/>
    <w:next w:val="CommentText"/>
    <w:link w:val="CommentSubjectChar"/>
    <w:uiPriority w:val="99"/>
    <w:semiHidden/>
    <w:unhideWhenUsed/>
    <w:rsid w:val="00EF75E6"/>
    <w:rPr>
      <w:b/>
      <w:bCs/>
    </w:rPr>
  </w:style>
  <w:style w:type="character" w:customStyle="1" w:styleId="CommentSubjectChar">
    <w:name w:val="Comment Subject Char"/>
    <w:basedOn w:val="CommentTextChar"/>
    <w:link w:val="CommentSubject"/>
    <w:uiPriority w:val="99"/>
    <w:semiHidden/>
    <w:rsid w:val="00EF75E6"/>
    <w:rPr>
      <w:b/>
      <w:bCs/>
      <w:sz w:val="20"/>
      <w:szCs w:val="20"/>
    </w:rPr>
  </w:style>
  <w:style w:type="character" w:styleId="UnresolvedMention">
    <w:name w:val="Unresolved Mention"/>
    <w:basedOn w:val="DefaultParagraphFont"/>
    <w:uiPriority w:val="99"/>
    <w:semiHidden/>
    <w:unhideWhenUsed/>
    <w:rsid w:val="000A57E5"/>
    <w:rPr>
      <w:color w:val="605E5C"/>
      <w:shd w:val="clear" w:color="auto" w:fill="E1DFDD"/>
    </w:rPr>
  </w:style>
  <w:style w:type="character" w:customStyle="1" w:styleId="Heading1Char">
    <w:name w:val="Heading 1 Char"/>
    <w:basedOn w:val="DefaultParagraphFont"/>
    <w:link w:val="Heading1"/>
    <w:uiPriority w:val="9"/>
    <w:rsid w:val="00661E8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61E88"/>
    <w:pPr>
      <w:spacing w:line="259" w:lineRule="auto"/>
      <w:outlineLvl w:val="9"/>
    </w:pPr>
  </w:style>
  <w:style w:type="paragraph" w:styleId="TOC1">
    <w:name w:val="toc 1"/>
    <w:basedOn w:val="Normal"/>
    <w:next w:val="Normal"/>
    <w:autoRedefine/>
    <w:uiPriority w:val="39"/>
    <w:unhideWhenUsed/>
    <w:rsid w:val="00661E88"/>
    <w:pPr>
      <w:spacing w:after="100" w:line="259" w:lineRule="auto"/>
    </w:pPr>
    <w:rPr>
      <w:kern w:val="2"/>
      <w:sz w:val="24"/>
      <w:szCs w:val="24"/>
      <w14:ligatures w14:val="standardContextual"/>
    </w:rPr>
  </w:style>
  <w:style w:type="paragraph" w:styleId="TOC2">
    <w:name w:val="toc 2"/>
    <w:basedOn w:val="Normal"/>
    <w:next w:val="Normal"/>
    <w:autoRedefine/>
    <w:uiPriority w:val="39"/>
    <w:unhideWhenUsed/>
    <w:rsid w:val="00661E88"/>
    <w:pPr>
      <w:spacing w:after="100" w:line="259" w:lineRule="auto"/>
      <w:ind w:left="220"/>
    </w:pPr>
    <w:rPr>
      <w:kern w:val="2"/>
      <w:sz w:val="24"/>
      <w:szCs w:val="24"/>
      <w14:ligatures w14:val="standardContextual"/>
    </w:rPr>
  </w:style>
  <w:style w:type="paragraph" w:styleId="TOC3">
    <w:name w:val="toc 3"/>
    <w:basedOn w:val="Normal"/>
    <w:next w:val="Normal"/>
    <w:autoRedefine/>
    <w:uiPriority w:val="39"/>
    <w:unhideWhenUsed/>
    <w:rsid w:val="00661E88"/>
    <w:pPr>
      <w:spacing w:after="100" w:line="259" w:lineRule="auto"/>
      <w:ind w:left="440"/>
    </w:pPr>
    <w:rPr>
      <w:kern w:val="2"/>
      <w:sz w:val="24"/>
      <w:szCs w:val="24"/>
      <w14:ligatures w14:val="standardContextual"/>
    </w:rPr>
  </w:style>
  <w:style w:type="paragraph" w:customStyle="1" w:styleId="pf0">
    <w:name w:val="pf0"/>
    <w:basedOn w:val="Normal"/>
    <w:rsid w:val="00661E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61E88"/>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7D0459"/>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87DE3"/>
    <w:rPr>
      <w:color w:val="800080" w:themeColor="followedHyperlink"/>
      <w:u w:val="single"/>
    </w:rPr>
  </w:style>
  <w:style w:type="character" w:styleId="Mention">
    <w:name w:val="Mention"/>
    <w:basedOn w:val="DefaultParagraphFont"/>
    <w:uiPriority w:val="99"/>
    <w:unhideWhenUsed/>
    <w:rsid w:val="00816405"/>
    <w:rPr>
      <w:color w:val="2B579A"/>
      <w:shd w:val="clear" w:color="auto" w:fill="E1DFDD"/>
    </w:rPr>
  </w:style>
  <w:style w:type="paragraph" w:styleId="FootnoteText">
    <w:name w:val="footnote text"/>
    <w:basedOn w:val="Normal"/>
    <w:link w:val="FootnoteTextChar"/>
    <w:uiPriority w:val="99"/>
    <w:semiHidden/>
    <w:unhideWhenUsed/>
    <w:rsid w:val="00BC4A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4AAB"/>
    <w:rPr>
      <w:sz w:val="20"/>
      <w:szCs w:val="20"/>
    </w:rPr>
  </w:style>
  <w:style w:type="character" w:styleId="FootnoteReference">
    <w:name w:val="footnote reference"/>
    <w:basedOn w:val="DefaultParagraphFont"/>
    <w:uiPriority w:val="99"/>
    <w:semiHidden/>
    <w:unhideWhenUsed/>
    <w:rsid w:val="00BC4A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826805">
      <w:bodyDiv w:val="1"/>
      <w:marLeft w:val="0"/>
      <w:marRight w:val="0"/>
      <w:marTop w:val="0"/>
      <w:marBottom w:val="0"/>
      <w:divBdr>
        <w:top w:val="none" w:sz="0" w:space="0" w:color="auto"/>
        <w:left w:val="none" w:sz="0" w:space="0" w:color="auto"/>
        <w:bottom w:val="none" w:sz="0" w:space="0" w:color="auto"/>
        <w:right w:val="none" w:sz="0" w:space="0" w:color="auto"/>
      </w:divBdr>
    </w:div>
    <w:div w:id="511917104">
      <w:bodyDiv w:val="1"/>
      <w:marLeft w:val="0"/>
      <w:marRight w:val="0"/>
      <w:marTop w:val="0"/>
      <w:marBottom w:val="0"/>
      <w:divBdr>
        <w:top w:val="none" w:sz="0" w:space="0" w:color="auto"/>
        <w:left w:val="none" w:sz="0" w:space="0" w:color="auto"/>
        <w:bottom w:val="none" w:sz="0" w:space="0" w:color="auto"/>
        <w:right w:val="none" w:sz="0" w:space="0" w:color="auto"/>
      </w:divBdr>
    </w:div>
    <w:div w:id="869296365">
      <w:bodyDiv w:val="1"/>
      <w:marLeft w:val="0"/>
      <w:marRight w:val="0"/>
      <w:marTop w:val="0"/>
      <w:marBottom w:val="0"/>
      <w:divBdr>
        <w:top w:val="none" w:sz="0" w:space="0" w:color="auto"/>
        <w:left w:val="none" w:sz="0" w:space="0" w:color="auto"/>
        <w:bottom w:val="none" w:sz="0" w:space="0" w:color="auto"/>
        <w:right w:val="none" w:sz="0" w:space="0" w:color="auto"/>
      </w:divBdr>
    </w:div>
    <w:div w:id="1045639603">
      <w:bodyDiv w:val="1"/>
      <w:marLeft w:val="0"/>
      <w:marRight w:val="0"/>
      <w:marTop w:val="0"/>
      <w:marBottom w:val="0"/>
      <w:divBdr>
        <w:top w:val="none" w:sz="0" w:space="0" w:color="auto"/>
        <w:left w:val="none" w:sz="0" w:space="0" w:color="auto"/>
        <w:bottom w:val="none" w:sz="0" w:space="0" w:color="auto"/>
        <w:right w:val="none" w:sz="0" w:space="0" w:color="auto"/>
      </w:divBdr>
    </w:div>
    <w:div w:id="1084303516">
      <w:bodyDiv w:val="1"/>
      <w:marLeft w:val="0"/>
      <w:marRight w:val="0"/>
      <w:marTop w:val="0"/>
      <w:marBottom w:val="0"/>
      <w:divBdr>
        <w:top w:val="none" w:sz="0" w:space="0" w:color="auto"/>
        <w:left w:val="none" w:sz="0" w:space="0" w:color="auto"/>
        <w:bottom w:val="none" w:sz="0" w:space="0" w:color="auto"/>
        <w:right w:val="none" w:sz="0" w:space="0" w:color="auto"/>
      </w:divBdr>
    </w:div>
    <w:div w:id="1310136594">
      <w:bodyDiv w:val="1"/>
      <w:marLeft w:val="0"/>
      <w:marRight w:val="0"/>
      <w:marTop w:val="0"/>
      <w:marBottom w:val="0"/>
      <w:divBdr>
        <w:top w:val="none" w:sz="0" w:space="0" w:color="auto"/>
        <w:left w:val="none" w:sz="0" w:space="0" w:color="auto"/>
        <w:bottom w:val="none" w:sz="0" w:space="0" w:color="auto"/>
        <w:right w:val="none" w:sz="0" w:space="0" w:color="auto"/>
      </w:divBdr>
    </w:div>
    <w:div w:id="1383361797">
      <w:bodyDiv w:val="1"/>
      <w:marLeft w:val="0"/>
      <w:marRight w:val="0"/>
      <w:marTop w:val="0"/>
      <w:marBottom w:val="0"/>
      <w:divBdr>
        <w:top w:val="none" w:sz="0" w:space="0" w:color="auto"/>
        <w:left w:val="none" w:sz="0" w:space="0" w:color="auto"/>
        <w:bottom w:val="none" w:sz="0" w:space="0" w:color="auto"/>
        <w:right w:val="none" w:sz="0" w:space="0" w:color="auto"/>
      </w:divBdr>
    </w:div>
    <w:div w:id="1481578241">
      <w:bodyDiv w:val="1"/>
      <w:marLeft w:val="0"/>
      <w:marRight w:val="0"/>
      <w:marTop w:val="0"/>
      <w:marBottom w:val="0"/>
      <w:divBdr>
        <w:top w:val="none" w:sz="0" w:space="0" w:color="auto"/>
        <w:left w:val="none" w:sz="0" w:space="0" w:color="auto"/>
        <w:bottom w:val="none" w:sz="0" w:space="0" w:color="auto"/>
        <w:right w:val="none" w:sz="0" w:space="0" w:color="auto"/>
      </w:divBdr>
    </w:div>
    <w:div w:id="1517115778">
      <w:bodyDiv w:val="1"/>
      <w:marLeft w:val="0"/>
      <w:marRight w:val="0"/>
      <w:marTop w:val="0"/>
      <w:marBottom w:val="0"/>
      <w:divBdr>
        <w:top w:val="none" w:sz="0" w:space="0" w:color="auto"/>
        <w:left w:val="none" w:sz="0" w:space="0" w:color="auto"/>
        <w:bottom w:val="none" w:sz="0" w:space="0" w:color="auto"/>
        <w:right w:val="none" w:sz="0" w:space="0" w:color="auto"/>
      </w:divBdr>
    </w:div>
    <w:div w:id="1547641015">
      <w:bodyDiv w:val="1"/>
      <w:marLeft w:val="0"/>
      <w:marRight w:val="0"/>
      <w:marTop w:val="0"/>
      <w:marBottom w:val="0"/>
      <w:divBdr>
        <w:top w:val="none" w:sz="0" w:space="0" w:color="auto"/>
        <w:left w:val="none" w:sz="0" w:space="0" w:color="auto"/>
        <w:bottom w:val="none" w:sz="0" w:space="0" w:color="auto"/>
        <w:right w:val="none" w:sz="0" w:space="0" w:color="auto"/>
      </w:divBdr>
    </w:div>
    <w:div w:id="18855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image" Target="media/image1.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hyperlink" Target="https://www.osi.state.nm.us/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idler\AppData\Local\Microsoft\Windows\Temporary%20Internet%20Files\Content.Outlook\K2P9SY71\Letterhea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469B5F288ABBC82E/OSI%20Work/Prior%20Authorization/Combined%20Insurer%20Prior%20Authorization%202023%20Repo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1"/>
              <a:t>Figure 1: Prior Authorizations per 1,000 Members</a:t>
            </a:r>
          </a:p>
          <a:p>
            <a:pPr>
              <a:defRPr/>
            </a:pPr>
            <a:r>
              <a:rPr lang="en-US" b="1"/>
              <a:t>Calendar Year 2023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Sheet5!$B$29</c:f>
              <c:strCache>
                <c:ptCount val="1"/>
                <c:pt idx="0">
                  <c:v>Prior Authorizations
 Per 1,000 Members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Sheet5!$A$30:$A$37</c:f>
              <c:strCache>
                <c:ptCount val="8"/>
                <c:pt idx="0">
                  <c:v>BCBSNM</c:v>
                </c:pt>
                <c:pt idx="1">
                  <c:v>Cigna</c:v>
                </c:pt>
                <c:pt idx="2">
                  <c:v>Molina</c:v>
                </c:pt>
                <c:pt idx="3">
                  <c:v>PHP</c:v>
                </c:pt>
                <c:pt idx="4">
                  <c:v>PIC</c:v>
                </c:pt>
                <c:pt idx="5">
                  <c:v>UHCNM</c:v>
                </c:pt>
                <c:pt idx="6">
                  <c:v>UHIC</c:v>
                </c:pt>
                <c:pt idx="7">
                  <c:v>WSCC</c:v>
                </c:pt>
              </c:strCache>
            </c:strRef>
          </c:cat>
          <c:val>
            <c:numRef>
              <c:f>Sheet5!$B$30:$B$37</c:f>
              <c:numCache>
                <c:formatCode>0.00</c:formatCode>
                <c:ptCount val="8"/>
                <c:pt idx="0">
                  <c:v>368.3</c:v>
                </c:pt>
                <c:pt idx="1">
                  <c:v>179.55</c:v>
                </c:pt>
                <c:pt idx="2">
                  <c:v>467.62</c:v>
                </c:pt>
                <c:pt idx="3">
                  <c:v>1079.77</c:v>
                </c:pt>
                <c:pt idx="4">
                  <c:v>372.07</c:v>
                </c:pt>
                <c:pt idx="5">
                  <c:v>194.62</c:v>
                </c:pt>
                <c:pt idx="6">
                  <c:v>192.11</c:v>
                </c:pt>
                <c:pt idx="7">
                  <c:v>365.36</c:v>
                </c:pt>
              </c:numCache>
            </c:numRef>
          </c:val>
          <c:extLst>
            <c:ext xmlns:c16="http://schemas.microsoft.com/office/drawing/2014/chart" uri="{C3380CC4-5D6E-409C-BE32-E72D297353CC}">
              <c16:uniqueId val="{00000000-C93F-40F8-A5DC-705FBBEAA61B}"/>
            </c:ext>
          </c:extLst>
        </c:ser>
        <c:dLbls>
          <c:showLegendKey val="0"/>
          <c:showVal val="0"/>
          <c:showCatName val="0"/>
          <c:showSerName val="0"/>
          <c:showPercent val="0"/>
          <c:showBubbleSize val="0"/>
        </c:dLbls>
        <c:gapWidth val="219"/>
        <c:overlap val="-27"/>
        <c:axId val="71893728"/>
        <c:axId val="1289996016"/>
      </c:barChart>
      <c:lineChart>
        <c:grouping val="standard"/>
        <c:varyColors val="0"/>
        <c:ser>
          <c:idx val="1"/>
          <c:order val="1"/>
          <c:tx>
            <c:strRef>
              <c:f>Sheet5!$C$29</c:f>
              <c:strCache>
                <c:ptCount val="1"/>
                <c:pt idx="0">
                  <c:v>Average for All 
Insurers Combined</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strRef>
              <c:f>Sheet5!$A$30:$A$37</c:f>
              <c:strCache>
                <c:ptCount val="8"/>
                <c:pt idx="0">
                  <c:v>BCBSNM</c:v>
                </c:pt>
                <c:pt idx="1">
                  <c:v>Cigna</c:v>
                </c:pt>
                <c:pt idx="2">
                  <c:v>Molina</c:v>
                </c:pt>
                <c:pt idx="3">
                  <c:v>PHP</c:v>
                </c:pt>
                <c:pt idx="4">
                  <c:v>PIC</c:v>
                </c:pt>
                <c:pt idx="5">
                  <c:v>UHCNM</c:v>
                </c:pt>
                <c:pt idx="6">
                  <c:v>UHIC</c:v>
                </c:pt>
                <c:pt idx="7">
                  <c:v>WSCC</c:v>
                </c:pt>
              </c:strCache>
            </c:strRef>
          </c:cat>
          <c:val>
            <c:numRef>
              <c:f>Sheet5!$C$30:$C$37</c:f>
              <c:numCache>
                <c:formatCode>0.00</c:formatCode>
                <c:ptCount val="8"/>
                <c:pt idx="0">
                  <c:v>469.22</c:v>
                </c:pt>
                <c:pt idx="1">
                  <c:v>469.22</c:v>
                </c:pt>
                <c:pt idx="2">
                  <c:v>469.22</c:v>
                </c:pt>
                <c:pt idx="3">
                  <c:v>469.22</c:v>
                </c:pt>
                <c:pt idx="4">
                  <c:v>469.22</c:v>
                </c:pt>
                <c:pt idx="5">
                  <c:v>469.22</c:v>
                </c:pt>
                <c:pt idx="6">
                  <c:v>469.22</c:v>
                </c:pt>
                <c:pt idx="7">
                  <c:v>469.22</c:v>
                </c:pt>
              </c:numCache>
            </c:numRef>
          </c:val>
          <c:smooth val="0"/>
          <c:extLst>
            <c:ext xmlns:c16="http://schemas.microsoft.com/office/drawing/2014/chart" uri="{C3380CC4-5D6E-409C-BE32-E72D297353CC}">
              <c16:uniqueId val="{00000001-C93F-40F8-A5DC-705FBBEAA61B}"/>
            </c:ext>
          </c:extLst>
        </c:ser>
        <c:dLbls>
          <c:showLegendKey val="0"/>
          <c:showVal val="0"/>
          <c:showCatName val="0"/>
          <c:showSerName val="0"/>
          <c:showPercent val="0"/>
          <c:showBubbleSize val="0"/>
        </c:dLbls>
        <c:marker val="1"/>
        <c:smooth val="0"/>
        <c:axId val="71893728"/>
        <c:axId val="1289996016"/>
      </c:lineChart>
      <c:catAx>
        <c:axId val="71893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289996016"/>
        <c:crosses val="autoZero"/>
        <c:auto val="1"/>
        <c:lblAlgn val="ctr"/>
        <c:lblOffset val="100"/>
        <c:noMultiLvlLbl val="0"/>
      </c:catAx>
      <c:valAx>
        <c:axId val="128999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89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10:  Step Therapy Exception Requests</a:t>
            </a:r>
          </a:p>
          <a:p>
            <a:pPr>
              <a:defRPr/>
            </a:pPr>
            <a:r>
              <a:rPr lang="en-US"/>
              <a:t>Calendar Year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'Comparison of RX metrics'!$B$85</c:f>
              <c:strCache>
                <c:ptCount val="1"/>
                <c:pt idx="0">
                  <c:v>Physical Health Requests Denied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'Comparison of RX metrics'!$C$84:$J$84</c:f>
              <c:strCache>
                <c:ptCount val="8"/>
                <c:pt idx="0">
                  <c:v>BCBSNM</c:v>
                </c:pt>
                <c:pt idx="1">
                  <c:v>Cigna</c:v>
                </c:pt>
                <c:pt idx="2">
                  <c:v>Molina</c:v>
                </c:pt>
                <c:pt idx="3">
                  <c:v>PHP</c:v>
                </c:pt>
                <c:pt idx="4">
                  <c:v>PIC</c:v>
                </c:pt>
                <c:pt idx="5">
                  <c:v>UHCNM</c:v>
                </c:pt>
                <c:pt idx="6">
                  <c:v>UHIC</c:v>
                </c:pt>
                <c:pt idx="7">
                  <c:v>WSCC</c:v>
                </c:pt>
              </c:strCache>
            </c:strRef>
          </c:cat>
          <c:val>
            <c:numRef>
              <c:f>'Comparison of RX metrics'!$C$85:$J$85</c:f>
              <c:numCache>
                <c:formatCode>0%</c:formatCode>
                <c:ptCount val="8"/>
                <c:pt idx="0">
                  <c:v>0.24892703862660945</c:v>
                </c:pt>
                <c:pt idx="1">
                  <c:v>0.125</c:v>
                </c:pt>
                <c:pt idx="2">
                  <c:v>0.36423841059602646</c:v>
                </c:pt>
                <c:pt idx="3">
                  <c:v>0.45981087470449172</c:v>
                </c:pt>
                <c:pt idx="4">
                  <c:v>0.45833333333333331</c:v>
                </c:pt>
                <c:pt idx="5">
                  <c:v>0.5892857142857143</c:v>
                </c:pt>
                <c:pt idx="6">
                  <c:v>0.48490230905861459</c:v>
                </c:pt>
                <c:pt idx="7">
                  <c:v>0.875</c:v>
                </c:pt>
              </c:numCache>
            </c:numRef>
          </c:val>
          <c:extLst>
            <c:ext xmlns:c16="http://schemas.microsoft.com/office/drawing/2014/chart" uri="{C3380CC4-5D6E-409C-BE32-E72D297353CC}">
              <c16:uniqueId val="{00000000-A1E8-40BC-A027-274767A9AF64}"/>
            </c:ext>
          </c:extLst>
        </c:ser>
        <c:ser>
          <c:idx val="1"/>
          <c:order val="1"/>
          <c:tx>
            <c:strRef>
              <c:f>'Comparison of RX metrics'!$B$86</c:f>
              <c:strCache>
                <c:ptCount val="1"/>
                <c:pt idx="0">
                  <c:v>Mental Health/Substance Use Disorder Treatment Requests Denied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'Comparison of RX metrics'!$C$84:$J$84</c:f>
              <c:strCache>
                <c:ptCount val="8"/>
                <c:pt idx="0">
                  <c:v>BCBSNM</c:v>
                </c:pt>
                <c:pt idx="1">
                  <c:v>Cigna</c:v>
                </c:pt>
                <c:pt idx="2">
                  <c:v>Molina</c:v>
                </c:pt>
                <c:pt idx="3">
                  <c:v>PHP</c:v>
                </c:pt>
                <c:pt idx="4">
                  <c:v>PIC</c:v>
                </c:pt>
                <c:pt idx="5">
                  <c:v>UHCNM</c:v>
                </c:pt>
                <c:pt idx="6">
                  <c:v>UHIC</c:v>
                </c:pt>
                <c:pt idx="7">
                  <c:v>WSCC</c:v>
                </c:pt>
              </c:strCache>
            </c:strRef>
          </c:cat>
          <c:val>
            <c:numRef>
              <c:f>'Comparison of RX metrics'!$C$86:$J$86</c:f>
              <c:numCache>
                <c:formatCode>0%</c:formatCode>
                <c:ptCount val="8"/>
                <c:pt idx="0">
                  <c:v>0.27848101265822783</c:v>
                </c:pt>
                <c:pt idx="1">
                  <c:v>0.25</c:v>
                </c:pt>
                <c:pt idx="2">
                  <c:v>0</c:v>
                </c:pt>
                <c:pt idx="3">
                  <c:v>0.49315068493150682</c:v>
                </c:pt>
                <c:pt idx="4">
                  <c:v>0.5</c:v>
                </c:pt>
                <c:pt idx="5">
                  <c:v>0</c:v>
                </c:pt>
                <c:pt idx="6">
                  <c:v>0.22222222222222221</c:v>
                </c:pt>
                <c:pt idx="7">
                  <c:v>0.46153846153846156</c:v>
                </c:pt>
              </c:numCache>
            </c:numRef>
          </c:val>
          <c:extLst>
            <c:ext xmlns:c16="http://schemas.microsoft.com/office/drawing/2014/chart" uri="{C3380CC4-5D6E-409C-BE32-E72D297353CC}">
              <c16:uniqueId val="{00000001-A1E8-40BC-A027-274767A9AF64}"/>
            </c:ext>
          </c:extLst>
        </c:ser>
        <c:dLbls>
          <c:showLegendKey val="0"/>
          <c:showVal val="0"/>
          <c:showCatName val="0"/>
          <c:showSerName val="0"/>
          <c:showPercent val="0"/>
          <c:showBubbleSize val="0"/>
        </c:dLbls>
        <c:gapWidth val="100"/>
        <c:overlap val="-24"/>
        <c:axId val="2025843664"/>
        <c:axId val="2025844624"/>
      </c:barChart>
      <c:catAx>
        <c:axId val="2025843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25844624"/>
        <c:crosses val="autoZero"/>
        <c:auto val="1"/>
        <c:lblAlgn val="ctr"/>
        <c:lblOffset val="100"/>
        <c:noMultiLvlLbl val="0"/>
      </c:catAx>
      <c:valAx>
        <c:axId val="2025844624"/>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2584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11:  Drug Formulary Exception Requests *</a:t>
            </a:r>
          </a:p>
          <a:p>
            <a:pPr>
              <a:defRPr/>
            </a:pPr>
            <a:r>
              <a:rPr lang="en-US"/>
              <a:t>Calendar Year 2023</a:t>
            </a:r>
          </a:p>
        </c:rich>
      </c:tx>
      <c:layout>
        <c:manualLayout>
          <c:xMode val="edge"/>
          <c:yMode val="edge"/>
          <c:x val="0.17011956616364624"/>
          <c:y val="2.28627049537215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'Comparison of RX metrics'!$B$88</c:f>
              <c:strCache>
                <c:ptCount val="1"/>
                <c:pt idx="0">
                  <c:v>Physical Health Requests Denied</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'Comparison of RX metrics'!$C$87:$I$87</c:f>
              <c:strCache>
                <c:ptCount val="7"/>
                <c:pt idx="0">
                  <c:v>BCBSNM</c:v>
                </c:pt>
                <c:pt idx="1">
                  <c:v>Cigna</c:v>
                </c:pt>
                <c:pt idx="2">
                  <c:v>Molina</c:v>
                </c:pt>
                <c:pt idx="3">
                  <c:v>PHP</c:v>
                </c:pt>
                <c:pt idx="4">
                  <c:v>PIC</c:v>
                </c:pt>
                <c:pt idx="5">
                  <c:v>UHCNM</c:v>
                </c:pt>
                <c:pt idx="6">
                  <c:v>UHIC</c:v>
                </c:pt>
              </c:strCache>
            </c:strRef>
          </c:cat>
          <c:val>
            <c:numRef>
              <c:f>'Comparison of RX metrics'!$C$88:$J$88</c:f>
              <c:numCache>
                <c:formatCode>0%</c:formatCode>
                <c:ptCount val="8"/>
                <c:pt idx="0">
                  <c:v>0.78341013824884798</c:v>
                </c:pt>
                <c:pt idx="1">
                  <c:v>0.58750000000000002</c:v>
                </c:pt>
                <c:pt idx="2">
                  <c:v>0.51864406779661021</c:v>
                </c:pt>
                <c:pt idx="3">
                  <c:v>0.8312123241795043</c:v>
                </c:pt>
                <c:pt idx="4">
                  <c:v>0.86528497409326421</c:v>
                </c:pt>
                <c:pt idx="5">
                  <c:v>0.69767441860465118</c:v>
                </c:pt>
                <c:pt idx="6">
                  <c:v>0.59207920792079205</c:v>
                </c:pt>
                <c:pt idx="7">
                  <c:v>0</c:v>
                </c:pt>
              </c:numCache>
            </c:numRef>
          </c:val>
          <c:extLst>
            <c:ext xmlns:c16="http://schemas.microsoft.com/office/drawing/2014/chart" uri="{C3380CC4-5D6E-409C-BE32-E72D297353CC}">
              <c16:uniqueId val="{00000000-5BCA-4946-80C4-259981BE1C03}"/>
            </c:ext>
          </c:extLst>
        </c:ser>
        <c:ser>
          <c:idx val="1"/>
          <c:order val="1"/>
          <c:tx>
            <c:strRef>
              <c:f>'Comparison of RX metrics'!$B$89</c:f>
              <c:strCache>
                <c:ptCount val="1"/>
                <c:pt idx="0">
                  <c:v>Mental Health/Substance Use Disorder Treatment Requests Denied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'Comparison of RX metrics'!$C$87:$I$87</c:f>
              <c:strCache>
                <c:ptCount val="7"/>
                <c:pt idx="0">
                  <c:v>BCBSNM</c:v>
                </c:pt>
                <c:pt idx="1">
                  <c:v>Cigna</c:v>
                </c:pt>
                <c:pt idx="2">
                  <c:v>Molina</c:v>
                </c:pt>
                <c:pt idx="3">
                  <c:v>PHP</c:v>
                </c:pt>
                <c:pt idx="4">
                  <c:v>PIC</c:v>
                </c:pt>
                <c:pt idx="5">
                  <c:v>UHCNM</c:v>
                </c:pt>
                <c:pt idx="6">
                  <c:v>UHIC</c:v>
                </c:pt>
              </c:strCache>
            </c:strRef>
          </c:cat>
          <c:val>
            <c:numRef>
              <c:f>'Comparison of RX metrics'!$C$89:$I$89</c:f>
              <c:numCache>
                <c:formatCode>0%</c:formatCode>
                <c:ptCount val="7"/>
                <c:pt idx="0">
                  <c:v>0.81048387096774188</c:v>
                </c:pt>
                <c:pt idx="1">
                  <c:v>1</c:v>
                </c:pt>
                <c:pt idx="2">
                  <c:v>0.32142857142857145</c:v>
                </c:pt>
                <c:pt idx="3">
                  <c:v>0.81666666666666665</c:v>
                </c:pt>
                <c:pt idx="4">
                  <c:v>0.5714285714285714</c:v>
                </c:pt>
                <c:pt idx="5">
                  <c:v>0</c:v>
                </c:pt>
                <c:pt idx="6">
                  <c:v>0.55855855855855852</c:v>
                </c:pt>
              </c:numCache>
            </c:numRef>
          </c:val>
          <c:extLst>
            <c:ext xmlns:c16="http://schemas.microsoft.com/office/drawing/2014/chart" uri="{C3380CC4-5D6E-409C-BE32-E72D297353CC}">
              <c16:uniqueId val="{00000001-5BCA-4946-80C4-259981BE1C03}"/>
            </c:ext>
          </c:extLst>
        </c:ser>
        <c:dLbls>
          <c:showLegendKey val="0"/>
          <c:showVal val="0"/>
          <c:showCatName val="0"/>
          <c:showSerName val="0"/>
          <c:showPercent val="0"/>
          <c:showBubbleSize val="0"/>
        </c:dLbls>
        <c:gapWidth val="100"/>
        <c:overlap val="-24"/>
        <c:axId val="1640565935"/>
        <c:axId val="1640564015"/>
      </c:barChart>
      <c:catAx>
        <c:axId val="16405659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40564015"/>
        <c:crosses val="autoZero"/>
        <c:auto val="1"/>
        <c:lblAlgn val="ctr"/>
        <c:lblOffset val="100"/>
        <c:noMultiLvlLbl val="0"/>
      </c:catAx>
      <c:valAx>
        <c:axId val="16405640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40565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2:  Volume of Prior Authorizations by Insurer</a:t>
            </a:r>
          </a:p>
          <a:p>
            <a:pPr>
              <a:defRPr/>
            </a:pPr>
            <a:r>
              <a:rPr lang="en-US"/>
              <a:t>Calendar Year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'Comparisons by Plan'!$B$146</c:f>
              <c:strCache>
                <c:ptCount val="1"/>
                <c:pt idx="0">
                  <c:v>Volume of Prior Authorizations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8DD-435B-843D-564E50DCA0B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8DD-435B-843D-564E50DCA0B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68DD-435B-843D-564E50DCA0B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68DD-435B-843D-564E50DCA0B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68DD-435B-843D-564E50DCA0B5}"/>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68DD-435B-843D-564E50DCA0B5}"/>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68DD-435B-843D-564E50DCA0B5}"/>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68DD-435B-843D-564E50DCA0B5}"/>
              </c:ext>
            </c:extLst>
          </c:dPt>
          <c:dLbls>
            <c:dLbl>
              <c:idx val="0"/>
              <c:layout>
                <c:manualLayout>
                  <c:x val="0"/>
                  <c:y val="0"/>
                </c:manualLayout>
              </c:layout>
              <c:tx>
                <c:rich>
                  <a:bodyPr/>
                  <a:lstStyle/>
                  <a:p>
                    <a:fld id="{1C78E255-37DB-482F-B29E-B9F1120F39B4}" type="CATEGORYNAME">
                      <a:rPr lang="en-US" b="1"/>
                      <a:pPr/>
                      <a:t>[CATEGORY NAME]</a:t>
                    </a:fld>
                    <a:r>
                      <a:rPr lang="en-US" b="1" baseline="0"/>
                      <a:t> </a:t>
                    </a:r>
                    <a:fld id="{44A8155D-41F0-4782-BF3F-29603C48CD69}" type="PERCENTAGE">
                      <a:rPr lang="en-US" b="1" baseline="0"/>
                      <a:pPr/>
                      <a:t>[PERCENTAGE]</a:t>
                    </a:fld>
                    <a:endParaRPr lang="en-US" b="1"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68DD-435B-843D-564E50DCA0B5}"/>
                </c:ext>
              </c:extLst>
            </c:dLbl>
            <c:dLbl>
              <c:idx val="1"/>
              <c:layout>
                <c:manualLayout>
                  <c:x val="5.1900739577849929E-2"/>
                  <c:y val="0"/>
                </c:manualLayout>
              </c:layout>
              <c:tx>
                <c:rich>
                  <a:bodyPr/>
                  <a:lstStyle/>
                  <a:p>
                    <a:fld id="{8958B922-7D07-44EF-B160-1084396F6FB9}" type="CATEGORYNAME">
                      <a:rPr lang="en-US" b="1"/>
                      <a:pPr/>
                      <a:t>[CATEGORY NAME]</a:t>
                    </a:fld>
                    <a:r>
                      <a:rPr lang="en-US" baseline="0"/>
                      <a:t> </a:t>
                    </a:r>
                    <a:fld id="{A743B9B2-1475-438E-80A9-BE492D9C8372}" type="PERCENTAGE">
                      <a:rPr lang="en-US" b="1"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68DD-435B-843D-564E50DCA0B5}"/>
                </c:ext>
              </c:extLst>
            </c:dLbl>
            <c:dLbl>
              <c:idx val="2"/>
              <c:layout>
                <c:manualLayout>
                  <c:x val="-3.2373751739958025E-2"/>
                  <c:y val="3.4785967012220968E-2"/>
                </c:manualLayout>
              </c:layout>
              <c:tx>
                <c:rich>
                  <a:bodyPr/>
                  <a:lstStyle/>
                  <a:p>
                    <a:fld id="{F54D1455-4AA5-46E6-BCE7-CA4886A70C43}" type="CATEGORYNAME">
                      <a:rPr lang="en-US" b="1"/>
                      <a:pPr/>
                      <a:t>[CATEGORY NAME]</a:t>
                    </a:fld>
                    <a:r>
                      <a:rPr lang="en-US" b="1" baseline="0"/>
                      <a:t> </a:t>
                    </a:r>
                    <a:fld id="{56EE0574-1ED7-4636-AAA2-E39114D4A358}" type="PERCENTAGE">
                      <a:rPr lang="en-US" b="1" baseline="0"/>
                      <a:pPr/>
                      <a:t>[PERCENTAGE]</a:t>
                    </a:fld>
                    <a:endParaRPr lang="en-US" b="1"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68DD-435B-843D-564E50DCA0B5}"/>
                </c:ext>
              </c:extLst>
            </c:dLbl>
            <c:dLbl>
              <c:idx val="3"/>
              <c:tx>
                <c:rich>
                  <a:bodyPr/>
                  <a:lstStyle/>
                  <a:p>
                    <a:fld id="{2D1F9AC6-A68F-409D-8BEC-09B7E27125AC}" type="CATEGORYNAME">
                      <a:rPr lang="en-US" b="1"/>
                      <a:pPr/>
                      <a:t>[CATEGORY NAME]</a:t>
                    </a:fld>
                    <a:r>
                      <a:rPr lang="en-US" b="1" baseline="0"/>
                      <a:t> </a:t>
                    </a:r>
                    <a:fld id="{0D00FE05-EC5A-43A2-A54A-EEAE23B591F0}" type="PERCENTAGE">
                      <a:rPr lang="en-US" b="1" baseline="0"/>
                      <a:pPr/>
                      <a:t>[PERCENTAGE]</a:t>
                    </a:fld>
                    <a:endParaRPr lang="en-US" b="1" baseline="0"/>
                  </a:p>
                </c:rich>
              </c:tx>
              <c:dLblPos val="outEnd"/>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68DD-435B-843D-564E50DCA0B5}"/>
                </c:ext>
              </c:extLst>
            </c:dLbl>
            <c:dLbl>
              <c:idx val="4"/>
              <c:layout>
                <c:manualLayout>
                  <c:x val="-4.5704120103470088E-2"/>
                  <c:y val="4.9280119933979703E-2"/>
                </c:manualLayout>
              </c:layout>
              <c:tx>
                <c:rich>
                  <a:bodyPr/>
                  <a:lstStyle/>
                  <a:p>
                    <a:fld id="{C938F2F1-4C83-474F-937D-F2DF1816FB51}" type="CATEGORYNAME">
                      <a:rPr lang="en-US" b="1"/>
                      <a:pPr/>
                      <a:t>[CATEGORY NAME]</a:t>
                    </a:fld>
                    <a:r>
                      <a:rPr lang="en-US" b="1" baseline="0"/>
                      <a:t> </a:t>
                    </a:r>
                    <a:fld id="{B8D5FAAD-4C14-4613-89D7-8B0BBE9B7C1F}" type="PERCENTAGE">
                      <a:rPr lang="en-US" b="1" baseline="0"/>
                      <a:pPr/>
                      <a:t>[PERCENTAGE]</a:t>
                    </a:fld>
                    <a:endParaRPr lang="en-US" b="1"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68DD-435B-843D-564E50DCA0B5}"/>
                </c:ext>
              </c:extLst>
            </c:dLbl>
            <c:dLbl>
              <c:idx val="5"/>
              <c:layout>
                <c:manualLayout>
                  <c:x val="-6.2843165142271354E-2"/>
                  <c:y val="-1.1595322337407015E-2"/>
                </c:manualLayout>
              </c:layout>
              <c:tx>
                <c:rich>
                  <a:bodyPr/>
                  <a:lstStyle/>
                  <a:p>
                    <a:fld id="{395468D2-5FDB-4166-A573-733FB35212A3}" type="CATEGORYNAME">
                      <a:rPr lang="en-US" b="1"/>
                      <a:pPr/>
                      <a:t>[CATEGORY NAME]</a:t>
                    </a:fld>
                    <a:r>
                      <a:rPr lang="en-US" baseline="0"/>
                      <a:t> </a:t>
                    </a:r>
                    <a:fld id="{5EA85F9A-210A-419E-A13B-4DF24FC7DA9A}" type="PERCENTAGE">
                      <a:rPr lang="en-US"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68DD-435B-843D-564E50DCA0B5}"/>
                </c:ext>
              </c:extLst>
            </c:dLbl>
            <c:dLbl>
              <c:idx val="6"/>
              <c:layout>
                <c:manualLayout>
                  <c:x val="1.3330368363512098E-2"/>
                  <c:y val="-4.058362818092446E-2"/>
                </c:manualLayout>
              </c:layout>
              <c:tx>
                <c:rich>
                  <a:bodyPr/>
                  <a:lstStyle/>
                  <a:p>
                    <a:fld id="{F616E1C7-1743-472A-873B-A82796D58E92}" type="CATEGORYNAME">
                      <a:rPr lang="en-US" b="1"/>
                      <a:pPr/>
                      <a:t>[CATEGORY NAME]</a:t>
                    </a:fld>
                    <a:r>
                      <a:rPr lang="en-US" b="1" baseline="0"/>
                      <a:t> </a:t>
                    </a:r>
                    <a:fld id="{A59AAD06-5982-4486-A0F5-6E8EAB755870}" type="PERCENTAGE">
                      <a:rPr lang="en-US" b="1" baseline="0"/>
                      <a:pPr/>
                      <a:t>[PERCENTAGE]</a:t>
                    </a:fld>
                    <a:endParaRPr lang="en-US" b="1"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68DD-435B-843D-564E50DCA0B5}"/>
                </c:ext>
              </c:extLst>
            </c:dLbl>
            <c:dLbl>
              <c:idx val="7"/>
              <c:layout>
                <c:manualLayout>
                  <c:x val="5.1175272261479096E-2"/>
                  <c:y val="-3.18870963323322E-2"/>
                </c:manualLayout>
              </c:layout>
              <c:tx>
                <c:rich>
                  <a:bodyPr/>
                  <a:lstStyle/>
                  <a:p>
                    <a:fld id="{6C4AFBE5-0D41-41D4-A706-34CDB7980CAB}" type="CATEGORYNAME">
                      <a:rPr lang="en-US" b="1"/>
                      <a:pPr/>
                      <a:t>[CATEGORY NAME]</a:t>
                    </a:fld>
                    <a:r>
                      <a:rPr lang="en-US" baseline="0"/>
                      <a:t> </a:t>
                    </a:r>
                    <a:fld id="{29C75692-7423-4482-983B-2E2F2501809F}" type="PERCENTAGE">
                      <a:rPr lang="en-US" b="1" baseline="0"/>
                      <a:pPr/>
                      <a:t>[PERCENTAGE]</a:t>
                    </a:fld>
                    <a:endParaRPr lang="en-US" baseline="0"/>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68DD-435B-843D-564E50DCA0B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'Comparisons by Plan'!$A$147:$A$154</c:f>
              <c:strCache>
                <c:ptCount val="8"/>
                <c:pt idx="0">
                  <c:v>BCBSNM</c:v>
                </c:pt>
                <c:pt idx="1">
                  <c:v>Cigna</c:v>
                </c:pt>
                <c:pt idx="2">
                  <c:v>Molina</c:v>
                </c:pt>
                <c:pt idx="3">
                  <c:v>PHP</c:v>
                </c:pt>
                <c:pt idx="4">
                  <c:v>PIC</c:v>
                </c:pt>
                <c:pt idx="5">
                  <c:v>UHCNM</c:v>
                </c:pt>
                <c:pt idx="6">
                  <c:v>UHIC</c:v>
                </c:pt>
                <c:pt idx="7">
                  <c:v>WSCC</c:v>
                </c:pt>
              </c:strCache>
            </c:strRef>
          </c:cat>
          <c:val>
            <c:numRef>
              <c:f>'Comparisons by Plan'!$B$147:$B$154</c:f>
              <c:numCache>
                <c:formatCode>General</c:formatCode>
                <c:ptCount val="8"/>
                <c:pt idx="0">
                  <c:v>30116</c:v>
                </c:pt>
                <c:pt idx="1">
                  <c:v>555</c:v>
                </c:pt>
                <c:pt idx="2">
                  <c:v>3264</c:v>
                </c:pt>
                <c:pt idx="3">
                  <c:v>26963</c:v>
                </c:pt>
                <c:pt idx="4">
                  <c:v>1601</c:v>
                </c:pt>
                <c:pt idx="5">
                  <c:v>282</c:v>
                </c:pt>
                <c:pt idx="6">
                  <c:v>3244</c:v>
                </c:pt>
                <c:pt idx="7">
                  <c:v>2084</c:v>
                </c:pt>
              </c:numCache>
            </c:numRef>
          </c:val>
          <c:extLst>
            <c:ext xmlns:c16="http://schemas.microsoft.com/office/drawing/2014/chart" uri="{C3380CC4-5D6E-409C-BE32-E72D297353CC}">
              <c16:uniqueId val="{00000010-68DD-435B-843D-564E50DCA0B5}"/>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3:  Calendar Year-End 2023 Membership by Insurer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'Comparisons by Plan'!$B$132</c:f>
              <c:strCache>
                <c:ptCount val="1"/>
                <c:pt idx="0">
                  <c:v>% of Total</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7C6-4019-B554-C1CAB48F792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7C6-4019-B554-C1CAB48F792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7C6-4019-B554-C1CAB48F792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7C6-4019-B554-C1CAB48F7922}"/>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7C6-4019-B554-C1CAB48F7922}"/>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7C6-4019-B554-C1CAB48F7922}"/>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37C6-4019-B554-C1CAB48F7922}"/>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37C6-4019-B554-C1CAB48F7922}"/>
              </c:ext>
            </c:extLst>
          </c:dPt>
          <c:dLbls>
            <c:dLbl>
              <c:idx val="0"/>
              <c:layout>
                <c:manualLayout>
                  <c:x val="-7.858174688190652E-17"/>
                  <c:y val="-7.2529465095195591E-3"/>
                </c:manualLayout>
              </c:layout>
              <c:tx>
                <c:rich>
                  <a:bodyPr/>
                  <a:lstStyle/>
                  <a:p>
                    <a:fld id="{56397C04-13FC-46AB-95FF-E53A4E2A2439}" type="CELLRANGE">
                      <a:rPr lang="en-US" b="1" baseline="0"/>
                      <a:pPr/>
                      <a:t>[CELLRANGE]</a:t>
                    </a:fld>
                    <a:r>
                      <a:rPr lang="en-US" b="1" baseline="0"/>
                      <a:t>
</a:t>
                    </a:r>
                    <a:fld id="{B748A7B8-769F-42F4-99D1-B265B6D5560A}" type="CATEGORYNAME">
                      <a:rPr lang="en-US" b="1" baseline="0"/>
                      <a:pPr/>
                      <a:t>[CATEGORY NAME]</a:t>
                    </a:fld>
                    <a:r>
                      <a:rPr lang="en-US" b="1" baseline="0"/>
                      <a:t>
</a:t>
                    </a:r>
                    <a:fld id="{3F9917C0-EECA-4294-BBC8-FA99A5BB7FF1}"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7C6-4019-B554-C1CAB48F7922}"/>
                </c:ext>
              </c:extLst>
            </c:dLbl>
            <c:dLbl>
              <c:idx val="1"/>
              <c:layout>
                <c:manualLayout>
                  <c:x val="-4.2863266180882984E-3"/>
                  <c:y val="-1.4505893019038985E-2"/>
                </c:manualLayout>
              </c:layout>
              <c:tx>
                <c:rich>
                  <a:bodyPr/>
                  <a:lstStyle/>
                  <a:p>
                    <a:fld id="{E0FABB80-403F-4CBF-B4A7-C0294903A757}" type="CELLRANGE">
                      <a:rPr lang="en-US" b="1" baseline="0"/>
                      <a:pPr/>
                      <a:t>[CELLRANGE]</a:t>
                    </a:fld>
                    <a:r>
                      <a:rPr lang="en-US" b="1" baseline="0"/>
                      <a:t>
</a:t>
                    </a:r>
                    <a:fld id="{C626FA79-09BB-4CD3-8F4F-B272109A0FAA}" type="CATEGORYNAME">
                      <a:rPr lang="en-US" b="1" baseline="0"/>
                      <a:pPr/>
                      <a:t>[CATEGORY NAME]</a:t>
                    </a:fld>
                    <a:r>
                      <a:rPr lang="en-US" b="1" baseline="0"/>
                      <a:t>
</a:t>
                    </a:r>
                    <a:fld id="{EB8061B0-2677-4DD0-BC5E-1518599F046A}"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7C6-4019-B554-C1CAB48F7922}"/>
                </c:ext>
              </c:extLst>
            </c:dLbl>
            <c:dLbl>
              <c:idx val="2"/>
              <c:layout>
                <c:manualLayout>
                  <c:x val="-4.7119939939914229E-2"/>
                  <c:y val="0"/>
                </c:manualLayout>
              </c:layout>
              <c:tx>
                <c:rich>
                  <a:bodyPr/>
                  <a:lstStyle/>
                  <a:p>
                    <a:fld id="{4495251C-1D01-41A9-9A58-D073E5683B4C}" type="CELLRANGE">
                      <a:rPr lang="en-US" b="1" baseline="0"/>
                      <a:pPr/>
                      <a:t>[CELLRANGE]</a:t>
                    </a:fld>
                    <a:r>
                      <a:rPr lang="en-US" b="1" baseline="0"/>
                      <a:t>
</a:t>
                    </a:r>
                    <a:fld id="{0DF8D2CB-6F29-459B-889F-90D090B7BAAB}" type="CATEGORYNAME">
                      <a:rPr lang="en-US" b="1" baseline="0"/>
                      <a:pPr/>
                      <a:t>[CATEGORY NAME]</a:t>
                    </a:fld>
                    <a:r>
                      <a:rPr lang="en-US" b="1" baseline="0"/>
                      <a:t>
</a:t>
                    </a:r>
                    <a:fld id="{8EA4B588-36C8-460A-A757-4C39D23CA493}"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7C6-4019-B554-C1CAB48F7922}"/>
                </c:ext>
              </c:extLst>
            </c:dLbl>
            <c:dLbl>
              <c:idx val="3"/>
              <c:tx>
                <c:rich>
                  <a:bodyPr/>
                  <a:lstStyle/>
                  <a:p>
                    <a:fld id="{BAA137BC-90CE-44E2-8B51-4D73957E68AC}" type="CELLRANGE">
                      <a:rPr lang="en-US"/>
                      <a:pPr/>
                      <a:t>[CELLRANGE]</a:t>
                    </a:fld>
                    <a:r>
                      <a:rPr lang="en-US" baseline="0"/>
                      <a:t>
</a:t>
                    </a:r>
                    <a:fld id="{B1CFA869-7DFD-4FB2-829B-72E559684195}" type="CATEGORYNAME">
                      <a:rPr lang="en-US" baseline="0"/>
                      <a:pPr/>
                      <a:t>[CATEGORY NAME]</a:t>
                    </a:fld>
                    <a:r>
                      <a:rPr lang="en-US" baseline="0"/>
                      <a:t>
</a:t>
                    </a:r>
                    <a:fld id="{23CAEFDB-39E6-4BF2-A990-51710106E42A}"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7C6-4019-B554-C1CAB48F7922}"/>
                </c:ext>
              </c:extLst>
            </c:dLbl>
            <c:dLbl>
              <c:idx val="4"/>
              <c:layout>
                <c:manualLayout>
                  <c:x val="-8.1711127132900796E-2"/>
                  <c:y val="6.1830173124484751E-2"/>
                </c:manualLayout>
              </c:layout>
              <c:tx>
                <c:rich>
                  <a:bodyPr/>
                  <a:lstStyle/>
                  <a:p>
                    <a:fld id="{1844D7C4-0C0B-472F-A02C-9E0A93340E48}" type="CELLRANGE">
                      <a:rPr lang="en-US" b="1" baseline="0"/>
                      <a:pPr/>
                      <a:t>[CELLRANGE]</a:t>
                    </a:fld>
                    <a:r>
                      <a:rPr lang="en-US" b="1" baseline="0"/>
                      <a:t>
</a:t>
                    </a:r>
                    <a:fld id="{F4158A83-6438-46C6-BD38-B333C7FD2FBE}" type="CATEGORYNAME">
                      <a:rPr lang="en-US" b="1" baseline="0"/>
                      <a:pPr/>
                      <a:t>[CATEGORY NAME]</a:t>
                    </a:fld>
                    <a:r>
                      <a:rPr lang="en-US" b="1" baseline="0"/>
                      <a:t>
</a:t>
                    </a:r>
                    <a:fld id="{4779516E-C518-4D68-8839-8E34749FB4BD}"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7C6-4019-B554-C1CAB48F7922}"/>
                </c:ext>
              </c:extLst>
            </c:dLbl>
            <c:dLbl>
              <c:idx val="5"/>
              <c:tx>
                <c:rich>
                  <a:bodyPr/>
                  <a:lstStyle/>
                  <a:p>
                    <a:fld id="{6CB45E83-6E52-4EB4-A863-673153141655}" type="CELLRANGE">
                      <a:rPr lang="en-US" baseline="0"/>
                      <a:pPr/>
                      <a:t>[CELLRANGE]</a:t>
                    </a:fld>
                    <a:r>
                      <a:rPr lang="en-US" baseline="0"/>
                      <a:t>
</a:t>
                    </a:r>
                    <a:fld id="{469A850D-A6F8-4285-AB48-10A640BC138A}" type="CATEGORYNAME">
                      <a:rPr lang="en-US" baseline="0"/>
                      <a:pPr/>
                      <a:t>[CATEGORY NAME]</a:t>
                    </a:fld>
                    <a:r>
                      <a:rPr lang="en-US" baseline="0"/>
                      <a:t>
</a:t>
                    </a:r>
                    <a:fld id="{3DF49AE8-9DEB-4136-A33E-62D8B81DA954}" type="PERCENTAGE">
                      <a:rPr lang="en-US" baseline="0"/>
                      <a:pPr/>
                      <a:t>[PERCENTAGE]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layout>
                    <c:manualLayout>
                      <c:w val="7.8156272043362784E-2"/>
                      <c:h val="0.17518093103275961"/>
                    </c:manualLayout>
                  </c15:layout>
                  <c15:dlblFieldTable/>
                  <c15:showDataLabelsRange val="1"/>
                </c:ext>
                <c:ext xmlns:c16="http://schemas.microsoft.com/office/drawing/2014/chart" uri="{C3380CC4-5D6E-409C-BE32-E72D297353CC}">
                  <c16:uniqueId val="{0000000B-37C6-4019-B554-C1CAB48F7922}"/>
                </c:ext>
              </c:extLst>
            </c:dLbl>
            <c:dLbl>
              <c:idx val="6"/>
              <c:layout>
                <c:manualLayout>
                  <c:x val="1.7145306472353194E-2"/>
                  <c:y val="-2.9011786038077986E-2"/>
                </c:manualLayout>
              </c:layout>
              <c:tx>
                <c:rich>
                  <a:bodyPr/>
                  <a:lstStyle/>
                  <a:p>
                    <a:fld id="{D9EAF9FC-E031-447F-85B2-0DCD57FFCF33}" type="CELLRANGE">
                      <a:rPr lang="en-US" b="1" baseline="0"/>
                      <a:pPr/>
                      <a:t>[CELLRANGE]</a:t>
                    </a:fld>
                    <a:r>
                      <a:rPr lang="en-US" b="1" baseline="0"/>
                      <a:t>
</a:t>
                    </a:r>
                    <a:fld id="{1F967126-FA40-4C6A-B3F7-754575F37348}" type="CATEGORYNAME">
                      <a:rPr lang="en-US" b="1" baseline="0"/>
                      <a:pPr/>
                      <a:t>[CATEGORY NAME]</a:t>
                    </a:fld>
                    <a:r>
                      <a:rPr lang="en-US" b="1" baseline="0"/>
                      <a:t>
</a:t>
                    </a:r>
                    <a:fld id="{2B1CE5AE-4B11-45A1-99C8-171565B5D8F3}"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7C6-4019-B554-C1CAB48F7922}"/>
                </c:ext>
              </c:extLst>
            </c:dLbl>
            <c:dLbl>
              <c:idx val="7"/>
              <c:layout>
                <c:manualLayout>
                  <c:x val="0.16438356164383561"/>
                  <c:y val="3.3246259795772976E-2"/>
                </c:manualLayout>
              </c:layout>
              <c:tx>
                <c:rich>
                  <a:bodyPr/>
                  <a:lstStyle/>
                  <a:p>
                    <a:fld id="{2AC185E8-D931-4F68-97BA-E44CC3206EF7}" type="CELLRANGE">
                      <a:rPr lang="en-US" b="1" baseline="0"/>
                      <a:pPr/>
                      <a:t>[CELLRANGE]</a:t>
                    </a:fld>
                    <a:r>
                      <a:rPr lang="en-US" b="1" baseline="0"/>
                      <a:t>
</a:t>
                    </a:r>
                    <a:fld id="{B2C24220-E38D-4294-B2DD-1078FF28813D}" type="CATEGORYNAME">
                      <a:rPr lang="en-US" b="1" baseline="0"/>
                      <a:pPr/>
                      <a:t>[CATEGORY NAME]</a:t>
                    </a:fld>
                    <a:r>
                      <a:rPr lang="en-US" b="1" baseline="0"/>
                      <a:t>
</a:t>
                    </a:r>
                    <a:fld id="{8D86CD1E-6668-4010-ACD7-2D5A880ACA7F}" type="PERCENTAGE">
                      <a:rPr lang="en-US" b="1" baseline="0"/>
                      <a:pPr/>
                      <a:t>[PERCENTAGE]</a:t>
                    </a:fld>
                    <a:endParaRPr lang="en-US" b="1"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7C6-4019-B554-C1CAB48F79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'Comparisons by Plan'!$A$133:$A$140</c:f>
              <c:strCache>
                <c:ptCount val="8"/>
                <c:pt idx="0">
                  <c:v>BCBSNM</c:v>
                </c:pt>
                <c:pt idx="1">
                  <c:v>Cigna</c:v>
                </c:pt>
                <c:pt idx="2">
                  <c:v>Molina</c:v>
                </c:pt>
                <c:pt idx="3">
                  <c:v>PHP</c:v>
                </c:pt>
                <c:pt idx="4">
                  <c:v>PIC</c:v>
                </c:pt>
                <c:pt idx="5">
                  <c:v>UHCNM</c:v>
                </c:pt>
                <c:pt idx="6">
                  <c:v>UHIC</c:v>
                </c:pt>
                <c:pt idx="7">
                  <c:v>WSCC</c:v>
                </c:pt>
              </c:strCache>
            </c:strRef>
          </c:cat>
          <c:val>
            <c:numRef>
              <c:f>'Comparisons by Plan'!$B$133:$B$140</c:f>
              <c:numCache>
                <c:formatCode>0%</c:formatCode>
                <c:ptCount val="8"/>
                <c:pt idx="0">
                  <c:v>0.56333574454893043</c:v>
                </c:pt>
                <c:pt idx="1">
                  <c:v>2.1294478316282596E-2</c:v>
                </c:pt>
                <c:pt idx="2">
                  <c:v>4.8086528193999521E-2</c:v>
                </c:pt>
                <c:pt idx="3">
                  <c:v>0.1720298990734043</c:v>
                </c:pt>
                <c:pt idx="4">
                  <c:v>2.9644173469739243E-2</c:v>
                </c:pt>
                <c:pt idx="5">
                  <c:v>9.9824325720781239E-3</c:v>
                </c:pt>
                <c:pt idx="6">
                  <c:v>0.1163308187799249</c:v>
                </c:pt>
                <c:pt idx="7">
                  <c:v>3.9295925045640868E-2</c:v>
                </c:pt>
              </c:numCache>
            </c:numRef>
          </c:val>
          <c:extLst>
            <c:ext xmlns:c15="http://schemas.microsoft.com/office/drawing/2012/chart" uri="{02D57815-91ED-43cb-92C2-25804820EDAC}">
              <c15:datalabelsRange>
                <c15:f>'Comparisons by Plan'!$B$120:$B$127</c15:f>
                <c15:dlblRangeCache>
                  <c:ptCount val="8"/>
                  <c:pt idx="0">
                    <c:v> 81,771 </c:v>
                  </c:pt>
                  <c:pt idx="1">
                    <c:v> 3,091 </c:v>
                  </c:pt>
                  <c:pt idx="2">
                    <c:v> 6,980 </c:v>
                  </c:pt>
                  <c:pt idx="3">
                    <c:v> 24,971 </c:v>
                  </c:pt>
                  <c:pt idx="4">
                    <c:v> 4,303 </c:v>
                  </c:pt>
                  <c:pt idx="5">
                    <c:v> 1,449 </c:v>
                  </c:pt>
                  <c:pt idx="6">
                    <c:v> 16,886 </c:v>
                  </c:pt>
                  <c:pt idx="7">
                    <c:v> 5,704 </c:v>
                  </c:pt>
                </c15:dlblRangeCache>
              </c15:datalabelsRange>
            </c:ext>
            <c:ext xmlns:c16="http://schemas.microsoft.com/office/drawing/2014/chart" uri="{C3380CC4-5D6E-409C-BE32-E72D297353CC}">
              <c16:uniqueId val="{00000010-37C6-4019-B554-C1CAB48F7922}"/>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17821736063532137"/>
          <c:y val="0.92792341573803727"/>
          <c:w val="0.65213793196553393"/>
          <c:h val="6.119716449768348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Figure 4:  Prior Authorizations by Type of Service</a:t>
            </a:r>
          </a:p>
          <a:p>
            <a:pPr>
              <a:defRPr/>
            </a:pPr>
            <a:r>
              <a:rPr lang="en-US"/>
              <a:t>Calendar Year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stacked"/>
        <c:varyColors val="0"/>
        <c:ser>
          <c:idx val="0"/>
          <c:order val="0"/>
          <c:tx>
            <c:strRef>
              <c:f>'Comparisons by Plan'!$D$75</c:f>
              <c:strCache>
                <c:ptCount val="1"/>
                <c:pt idx="0">
                  <c:v>Inpatient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'Comparisons by Plan'!$A$76:$A$99</c:f>
              <c:strCache>
                <c:ptCount val="8"/>
                <c:pt idx="0">
                  <c:v>BCBSNM</c:v>
                </c:pt>
                <c:pt idx="1">
                  <c:v>Cigna</c:v>
                </c:pt>
                <c:pt idx="2">
                  <c:v>Molina</c:v>
                </c:pt>
                <c:pt idx="3">
                  <c:v>PHP</c:v>
                </c:pt>
                <c:pt idx="4">
                  <c:v>PIC</c:v>
                </c:pt>
                <c:pt idx="5">
                  <c:v>UHCNM</c:v>
                </c:pt>
                <c:pt idx="6">
                  <c:v>UHIC</c:v>
                </c:pt>
                <c:pt idx="7">
                  <c:v>WSCC</c:v>
                </c:pt>
              </c:strCache>
            </c:strRef>
          </c:cat>
          <c:val>
            <c:numRef>
              <c:f>'Comparisons by Plan'!$D$76:$D$99</c:f>
              <c:numCache>
                <c:formatCode>0%</c:formatCode>
                <c:ptCount val="8"/>
                <c:pt idx="0">
                  <c:v>0.18697702218090051</c:v>
                </c:pt>
                <c:pt idx="1">
                  <c:v>0</c:v>
                </c:pt>
                <c:pt idx="2">
                  <c:v>1.133578431372549E-2</c:v>
                </c:pt>
                <c:pt idx="3">
                  <c:v>2.8042290995658872E-2</c:v>
                </c:pt>
                <c:pt idx="4">
                  <c:v>1.2492192379762648E-2</c:v>
                </c:pt>
                <c:pt idx="5">
                  <c:v>2.1276595744680851E-2</c:v>
                </c:pt>
                <c:pt idx="6">
                  <c:v>1.5413070283600493E-2</c:v>
                </c:pt>
                <c:pt idx="7">
                  <c:v>0.14299424184261036</c:v>
                </c:pt>
              </c:numCache>
            </c:numRef>
          </c:val>
          <c:extLst>
            <c:ext xmlns:c16="http://schemas.microsoft.com/office/drawing/2014/chart" uri="{C3380CC4-5D6E-409C-BE32-E72D297353CC}">
              <c16:uniqueId val="{00000000-ACBE-4A26-9369-D5EDA3EF5C25}"/>
            </c:ext>
          </c:extLst>
        </c:ser>
        <c:ser>
          <c:idx val="1"/>
          <c:order val="1"/>
          <c:tx>
            <c:strRef>
              <c:f>'Comparisons by Plan'!$E$75</c:f>
              <c:strCache>
                <c:ptCount val="1"/>
                <c:pt idx="0">
                  <c:v>Outpatient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'Comparisons by Plan'!$A$76:$A$99</c:f>
              <c:strCache>
                <c:ptCount val="8"/>
                <c:pt idx="0">
                  <c:v>BCBSNM</c:v>
                </c:pt>
                <c:pt idx="1">
                  <c:v>Cigna</c:v>
                </c:pt>
                <c:pt idx="2">
                  <c:v>Molina</c:v>
                </c:pt>
                <c:pt idx="3">
                  <c:v>PHP</c:v>
                </c:pt>
                <c:pt idx="4">
                  <c:v>PIC</c:v>
                </c:pt>
                <c:pt idx="5">
                  <c:v>UHCNM</c:v>
                </c:pt>
                <c:pt idx="6">
                  <c:v>UHIC</c:v>
                </c:pt>
                <c:pt idx="7">
                  <c:v>WSCC</c:v>
                </c:pt>
              </c:strCache>
            </c:strRef>
          </c:cat>
          <c:val>
            <c:numRef>
              <c:f>'Comparisons by Plan'!$E$76:$E$99</c:f>
              <c:numCache>
                <c:formatCode>0%</c:formatCode>
                <c:ptCount val="8"/>
                <c:pt idx="0">
                  <c:v>0.54568999867180235</c:v>
                </c:pt>
                <c:pt idx="1">
                  <c:v>5.2252252252252253E-2</c:v>
                </c:pt>
                <c:pt idx="2">
                  <c:v>0.63970588235294124</c:v>
                </c:pt>
                <c:pt idx="3">
                  <c:v>0.76207814031648236</c:v>
                </c:pt>
                <c:pt idx="4">
                  <c:v>0.55965021861336661</c:v>
                </c:pt>
                <c:pt idx="5">
                  <c:v>0.14893617021276595</c:v>
                </c:pt>
                <c:pt idx="6">
                  <c:v>0.15875462392108508</c:v>
                </c:pt>
                <c:pt idx="7">
                  <c:v>0.44481765834932824</c:v>
                </c:pt>
              </c:numCache>
            </c:numRef>
          </c:val>
          <c:extLst>
            <c:ext xmlns:c16="http://schemas.microsoft.com/office/drawing/2014/chart" uri="{C3380CC4-5D6E-409C-BE32-E72D297353CC}">
              <c16:uniqueId val="{00000001-ACBE-4A26-9369-D5EDA3EF5C25}"/>
            </c:ext>
          </c:extLst>
        </c:ser>
        <c:ser>
          <c:idx val="2"/>
          <c:order val="2"/>
          <c:tx>
            <c:strRef>
              <c:f>'Comparisons by Plan'!$F$75</c:f>
              <c:strCache>
                <c:ptCount val="1"/>
                <c:pt idx="0">
                  <c:v>Pharmacy</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'Comparisons by Plan'!$A$76:$A$99</c:f>
              <c:strCache>
                <c:ptCount val="8"/>
                <c:pt idx="0">
                  <c:v>BCBSNM</c:v>
                </c:pt>
                <c:pt idx="1">
                  <c:v>Cigna</c:v>
                </c:pt>
                <c:pt idx="2">
                  <c:v>Molina</c:v>
                </c:pt>
                <c:pt idx="3">
                  <c:v>PHP</c:v>
                </c:pt>
                <c:pt idx="4">
                  <c:v>PIC</c:v>
                </c:pt>
                <c:pt idx="5">
                  <c:v>UHCNM</c:v>
                </c:pt>
                <c:pt idx="6">
                  <c:v>UHIC</c:v>
                </c:pt>
                <c:pt idx="7">
                  <c:v>WSCC</c:v>
                </c:pt>
              </c:strCache>
            </c:strRef>
          </c:cat>
          <c:val>
            <c:numRef>
              <c:f>'Comparisons by Plan'!$F$76:$F$99</c:f>
              <c:numCache>
                <c:formatCode>0%</c:formatCode>
                <c:ptCount val="8"/>
                <c:pt idx="0">
                  <c:v>0.26733297914729715</c:v>
                </c:pt>
                <c:pt idx="1">
                  <c:v>0.94774774774774773</c:v>
                </c:pt>
                <c:pt idx="2">
                  <c:v>0.34895833333333331</c:v>
                </c:pt>
                <c:pt idx="3">
                  <c:v>0.20987956868785884</c:v>
                </c:pt>
                <c:pt idx="4">
                  <c:v>0.42785758900687071</c:v>
                </c:pt>
                <c:pt idx="5">
                  <c:v>0.82978723404255317</c:v>
                </c:pt>
                <c:pt idx="6">
                  <c:v>0.82583230579531441</c:v>
                </c:pt>
                <c:pt idx="7">
                  <c:v>0.41218809980806143</c:v>
                </c:pt>
              </c:numCache>
            </c:numRef>
          </c:val>
          <c:extLst>
            <c:ext xmlns:c16="http://schemas.microsoft.com/office/drawing/2014/chart" uri="{C3380CC4-5D6E-409C-BE32-E72D297353CC}">
              <c16:uniqueId val="{00000002-ACBE-4A26-9369-D5EDA3EF5C25}"/>
            </c:ext>
          </c:extLst>
        </c:ser>
        <c:dLbls>
          <c:showLegendKey val="0"/>
          <c:showVal val="0"/>
          <c:showCatName val="0"/>
          <c:showSerName val="0"/>
          <c:showPercent val="0"/>
          <c:showBubbleSize val="0"/>
        </c:dLbls>
        <c:gapWidth val="150"/>
        <c:overlap val="100"/>
        <c:axId val="950518335"/>
        <c:axId val="950526975"/>
      </c:barChart>
      <c:catAx>
        <c:axId val="95051833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950526975"/>
        <c:crosses val="autoZero"/>
        <c:auto val="1"/>
        <c:lblAlgn val="ctr"/>
        <c:lblOffset val="100"/>
        <c:noMultiLvlLbl val="0"/>
      </c:catAx>
      <c:valAx>
        <c:axId val="950526975"/>
        <c:scaling>
          <c:orientation val="minMax"/>
          <c:max val="1"/>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crossAx val="950518335"/>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r>
              <a:rPr lang="en-US" sz="1200" b="1">
                <a:latin typeface="Times New Roman" panose="02020603050405020304" pitchFamily="18" charset="0"/>
                <a:cs typeface="Times New Roman" panose="02020603050405020304" pitchFamily="18" charset="0"/>
              </a:rPr>
              <a:t>Figure</a:t>
            </a:r>
            <a:r>
              <a:rPr lang="en-US" sz="1200" b="1" baseline="0">
                <a:latin typeface="Times New Roman" panose="02020603050405020304" pitchFamily="18" charset="0"/>
                <a:cs typeface="Times New Roman" panose="02020603050405020304" pitchFamily="18" charset="0"/>
              </a:rPr>
              <a:t> 5: </a:t>
            </a:r>
            <a:r>
              <a:rPr lang="en-US" sz="1200" b="1">
                <a:latin typeface="Times New Roman" panose="02020603050405020304" pitchFamily="18" charset="0"/>
                <a:cs typeface="Times New Roman" panose="02020603050405020304" pitchFamily="18" charset="0"/>
              </a:rPr>
              <a:t>Approval and Denial Rates by Insurer</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Calendar Year 2023</a:t>
            </a:r>
          </a:p>
        </c:rich>
      </c:tx>
      <c:layout>
        <c:manualLayout>
          <c:xMode val="edge"/>
          <c:yMode val="edge"/>
          <c:x val="0.22292792792792793"/>
          <c:y val="3.4542314335060449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Sheet1!$B$16</c:f>
              <c:strCache>
                <c:ptCount val="1"/>
                <c:pt idx="0">
                  <c:v>Total Approved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Sheet1!$C$15:$J$15</c:f>
              <c:strCache>
                <c:ptCount val="8"/>
                <c:pt idx="0">
                  <c:v>BCBSNM</c:v>
                </c:pt>
                <c:pt idx="1">
                  <c:v>Cigna</c:v>
                </c:pt>
                <c:pt idx="2">
                  <c:v>Molina</c:v>
                </c:pt>
                <c:pt idx="3">
                  <c:v>PHP</c:v>
                </c:pt>
                <c:pt idx="4">
                  <c:v>PIC</c:v>
                </c:pt>
                <c:pt idx="5">
                  <c:v>UHCNM</c:v>
                </c:pt>
                <c:pt idx="6">
                  <c:v>UHIC</c:v>
                </c:pt>
                <c:pt idx="7">
                  <c:v>WSCC</c:v>
                </c:pt>
              </c:strCache>
            </c:strRef>
          </c:cat>
          <c:val>
            <c:numRef>
              <c:f>Sheet1!$C$16:$J$16</c:f>
              <c:numCache>
                <c:formatCode>0%</c:formatCode>
                <c:ptCount val="8"/>
                <c:pt idx="0">
                  <c:v>0.81099747642449194</c:v>
                </c:pt>
                <c:pt idx="1">
                  <c:v>0.64144144144144144</c:v>
                </c:pt>
                <c:pt idx="2">
                  <c:v>0.76317401960784315</c:v>
                </c:pt>
                <c:pt idx="3">
                  <c:v>0.73624142276992022</c:v>
                </c:pt>
                <c:pt idx="4">
                  <c:v>0.63023110555902562</c:v>
                </c:pt>
                <c:pt idx="5">
                  <c:v>0.52836879432624118</c:v>
                </c:pt>
                <c:pt idx="6">
                  <c:v>0.5733662145499383</c:v>
                </c:pt>
                <c:pt idx="7">
                  <c:v>0.7125719769673704</c:v>
                </c:pt>
              </c:numCache>
            </c:numRef>
          </c:val>
          <c:extLst>
            <c:ext xmlns:c16="http://schemas.microsoft.com/office/drawing/2014/chart" uri="{C3380CC4-5D6E-409C-BE32-E72D297353CC}">
              <c16:uniqueId val="{00000000-F532-4D62-8F0D-546FE440D145}"/>
            </c:ext>
          </c:extLst>
        </c:ser>
        <c:ser>
          <c:idx val="1"/>
          <c:order val="1"/>
          <c:tx>
            <c:strRef>
              <c:f>Sheet1!$B$17</c:f>
              <c:strCache>
                <c:ptCount val="1"/>
                <c:pt idx="0">
                  <c:v>Total Denied</c:v>
                </c:pt>
              </c:strCache>
            </c:strRef>
          </c:tx>
          <c:spPr>
            <a:solidFill>
              <a:schemeClr val="accent2"/>
            </a:solidFill>
            <a:ln>
              <a:noFill/>
            </a:ln>
            <a:effectLst/>
          </c:spPr>
          <c:invertIfNegative val="0"/>
          <c:dLbls>
            <c:dLbl>
              <c:idx val="0"/>
              <c:layout>
                <c:manualLayout>
                  <c:x val="2.56904303147075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32-4D62-8F0D-546FE440D145}"/>
                </c:ext>
              </c:extLst>
            </c:dLbl>
            <c:dLbl>
              <c:idx val="1"/>
              <c:layout>
                <c:manualLayout>
                  <c:x val="7.707129094412331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32-4D62-8F0D-546FE440D145}"/>
                </c:ext>
              </c:extLst>
            </c:dLbl>
            <c:dLbl>
              <c:idx val="2"/>
              <c:layout>
                <c:manualLayout>
                  <c:x val="7.7071290944122845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32-4D62-8F0D-546FE440D145}"/>
                </c:ext>
              </c:extLst>
            </c:dLbl>
            <c:dLbl>
              <c:idx val="3"/>
              <c:layout>
                <c:manualLayout>
                  <c:x val="5.1380860629415539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32-4D62-8F0D-546FE440D145}"/>
                </c:ext>
              </c:extLst>
            </c:dLbl>
            <c:dLbl>
              <c:idx val="4"/>
              <c:layout>
                <c:manualLayout>
                  <c:x val="5.138086062941553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32-4D62-8F0D-546FE440D145}"/>
                </c:ext>
              </c:extLst>
            </c:dLbl>
            <c:dLbl>
              <c:idx val="5"/>
              <c:layout>
                <c:manualLayout>
                  <c:x val="7.70712909441223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32-4D62-8F0D-546FE440D145}"/>
                </c:ext>
              </c:extLst>
            </c:dLbl>
            <c:dLbl>
              <c:idx val="6"/>
              <c:layout>
                <c:manualLayout>
                  <c:x val="7.707129094412425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32-4D62-8F0D-546FE440D145}"/>
                </c:ext>
              </c:extLst>
            </c:dLbl>
            <c:dLbl>
              <c:idx val="7"/>
              <c:layout>
                <c:manualLayout>
                  <c:x val="1.0276172125883108E-2"/>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32-4D62-8F0D-546FE440D1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Sheet1!$C$15:$J$15</c:f>
              <c:strCache>
                <c:ptCount val="8"/>
                <c:pt idx="0">
                  <c:v>BCBSNM</c:v>
                </c:pt>
                <c:pt idx="1">
                  <c:v>Cigna</c:v>
                </c:pt>
                <c:pt idx="2">
                  <c:v>Molina</c:v>
                </c:pt>
                <c:pt idx="3">
                  <c:v>PHP</c:v>
                </c:pt>
                <c:pt idx="4">
                  <c:v>PIC</c:v>
                </c:pt>
                <c:pt idx="5">
                  <c:v>UHCNM</c:v>
                </c:pt>
                <c:pt idx="6">
                  <c:v>UHIC</c:v>
                </c:pt>
                <c:pt idx="7">
                  <c:v>WSCC</c:v>
                </c:pt>
              </c:strCache>
            </c:strRef>
          </c:cat>
          <c:val>
            <c:numRef>
              <c:f>Sheet1!$C$17:$J$17</c:f>
              <c:numCache>
                <c:formatCode>0%</c:formatCode>
                <c:ptCount val="8"/>
                <c:pt idx="0">
                  <c:v>0.18900252357550804</c:v>
                </c:pt>
                <c:pt idx="1">
                  <c:v>0.35855855855855856</c:v>
                </c:pt>
                <c:pt idx="2">
                  <c:v>0.23682598039215685</c:v>
                </c:pt>
                <c:pt idx="3">
                  <c:v>0.26375857723007984</c:v>
                </c:pt>
                <c:pt idx="4">
                  <c:v>0.36976889444097438</c:v>
                </c:pt>
                <c:pt idx="5">
                  <c:v>0.47163120567375888</c:v>
                </c:pt>
                <c:pt idx="6">
                  <c:v>0.42663378545006164</c:v>
                </c:pt>
                <c:pt idx="7">
                  <c:v>0.28742802303262954</c:v>
                </c:pt>
              </c:numCache>
            </c:numRef>
          </c:val>
          <c:extLst>
            <c:ext xmlns:c16="http://schemas.microsoft.com/office/drawing/2014/chart" uri="{C3380CC4-5D6E-409C-BE32-E72D297353CC}">
              <c16:uniqueId val="{00000009-F532-4D62-8F0D-546FE440D145}"/>
            </c:ext>
          </c:extLst>
        </c:ser>
        <c:dLbls>
          <c:showLegendKey val="0"/>
          <c:showVal val="0"/>
          <c:showCatName val="0"/>
          <c:showSerName val="0"/>
          <c:showPercent val="0"/>
          <c:showBubbleSize val="0"/>
        </c:dLbls>
        <c:gapWidth val="219"/>
        <c:overlap val="-27"/>
        <c:axId val="1743367376"/>
        <c:axId val="1743369296"/>
      </c:barChart>
      <c:catAx>
        <c:axId val="174336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3369296"/>
        <c:crosses val="autoZero"/>
        <c:auto val="1"/>
        <c:lblAlgn val="ctr"/>
        <c:lblOffset val="100"/>
        <c:noMultiLvlLbl val="0"/>
      </c:catAx>
      <c:valAx>
        <c:axId val="1743369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336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r>
              <a:rPr lang="en-US" sz="1000" b="1">
                <a:latin typeface="Times New Roman" panose="02020603050405020304" pitchFamily="18" charset="0"/>
                <a:cs typeface="Times New Roman" panose="02020603050405020304" pitchFamily="18" charset="0"/>
              </a:rPr>
              <a:t>Figure 6:  Inpatient Denial</a:t>
            </a:r>
            <a:r>
              <a:rPr lang="en-US" sz="1000" b="1" baseline="0">
                <a:latin typeface="Times New Roman" panose="02020603050405020304" pitchFamily="18" charset="0"/>
                <a:cs typeface="Times New Roman" panose="02020603050405020304" pitchFamily="18" charset="0"/>
              </a:rPr>
              <a:t> Rates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0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Calendar Year 2023</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b="1"/>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'Number of PAs by Insurer Graphs'!$B$55</c:f>
              <c:strCache>
                <c:ptCount val="1"/>
                <c:pt idx="0">
                  <c:v>Physical Health Denied</c:v>
                </c:pt>
              </c:strCache>
            </c:strRef>
          </c:tx>
          <c:spPr>
            <a:solidFill>
              <a:schemeClr val="accent1"/>
            </a:solidFill>
            <a:ln>
              <a:noFill/>
            </a:ln>
            <a:effectLst/>
          </c:spPr>
          <c:invertIfNegative val="0"/>
          <c:cat>
            <c:strRef>
              <c:f>'Number of PAs by Insurer Graphs'!$C$53:$L$54</c:f>
              <c:strCache>
                <c:ptCount val="8"/>
                <c:pt idx="0">
                  <c:v>BCBSNM</c:v>
                </c:pt>
                <c:pt idx="1">
                  <c:v>Cigna</c:v>
                </c:pt>
                <c:pt idx="2">
                  <c:v>Molina</c:v>
                </c:pt>
                <c:pt idx="3">
                  <c:v>PHP</c:v>
                </c:pt>
                <c:pt idx="4">
                  <c:v>PIC</c:v>
                </c:pt>
                <c:pt idx="5">
                  <c:v>UHCNM</c:v>
                </c:pt>
                <c:pt idx="6">
                  <c:v>UHIC</c:v>
                </c:pt>
                <c:pt idx="7">
                  <c:v>WSCC</c:v>
                </c:pt>
              </c:strCache>
              <c:extLst/>
            </c:strRef>
          </c:cat>
          <c:val>
            <c:numRef>
              <c:f>'Number of PAs by Insurer Graphs'!$C$55:$J$55</c:f>
              <c:numCache>
                <c:formatCode>0%</c:formatCode>
                <c:ptCount val="8"/>
                <c:pt idx="0">
                  <c:v>4.8799531524497362E-2</c:v>
                </c:pt>
                <c:pt idx="1">
                  <c:v>0</c:v>
                </c:pt>
                <c:pt idx="2">
                  <c:v>0.3</c:v>
                </c:pt>
                <c:pt idx="3">
                  <c:v>8.6206896551724144E-2</c:v>
                </c:pt>
                <c:pt idx="4">
                  <c:v>0</c:v>
                </c:pt>
                <c:pt idx="5">
                  <c:v>0.33333333333333331</c:v>
                </c:pt>
                <c:pt idx="6">
                  <c:v>0.22222222222222221</c:v>
                </c:pt>
                <c:pt idx="7">
                  <c:v>0.10126582278481013</c:v>
                </c:pt>
              </c:numCache>
              <c:extLst/>
            </c:numRef>
          </c:val>
          <c:extLst>
            <c:ext xmlns:c16="http://schemas.microsoft.com/office/drawing/2014/chart" uri="{C3380CC4-5D6E-409C-BE32-E72D297353CC}">
              <c16:uniqueId val="{00000000-4585-4206-AD46-5477A52E9E34}"/>
            </c:ext>
          </c:extLst>
        </c:ser>
        <c:ser>
          <c:idx val="1"/>
          <c:order val="1"/>
          <c:tx>
            <c:strRef>
              <c:f>'Number of PAs by Insurer Graphs'!$B$56</c:f>
              <c:strCache>
                <c:ptCount val="1"/>
                <c:pt idx="0">
                  <c:v>Mental Health and Substance Use Disorder Treatment Denied</c:v>
                </c:pt>
              </c:strCache>
            </c:strRef>
          </c:tx>
          <c:spPr>
            <a:solidFill>
              <a:schemeClr val="accent2"/>
            </a:solidFill>
            <a:ln>
              <a:noFill/>
            </a:ln>
            <a:effectLst/>
          </c:spPr>
          <c:invertIfNegative val="0"/>
          <c:cat>
            <c:strRef>
              <c:f>'Number of PAs by Insurer Graphs'!$C$53:$L$54</c:f>
              <c:strCache>
                <c:ptCount val="8"/>
                <c:pt idx="0">
                  <c:v>BCBSNM</c:v>
                </c:pt>
                <c:pt idx="1">
                  <c:v>Cigna</c:v>
                </c:pt>
                <c:pt idx="2">
                  <c:v>Molina</c:v>
                </c:pt>
                <c:pt idx="3">
                  <c:v>PHP</c:v>
                </c:pt>
                <c:pt idx="4">
                  <c:v>PIC</c:v>
                </c:pt>
                <c:pt idx="5">
                  <c:v>UHCNM</c:v>
                </c:pt>
                <c:pt idx="6">
                  <c:v>UHIC</c:v>
                </c:pt>
                <c:pt idx="7">
                  <c:v>WSCC</c:v>
                </c:pt>
              </c:strCache>
              <c:extLst/>
            </c:strRef>
          </c:cat>
          <c:val>
            <c:numRef>
              <c:f>'Number of PAs by Insurer Graphs'!$C$56:$J$56</c:f>
              <c:numCache>
                <c:formatCode>0%</c:formatCode>
                <c:ptCount val="8"/>
                <c:pt idx="0">
                  <c:v>1.1811023622047244E-2</c:v>
                </c:pt>
                <c:pt idx="1">
                  <c:v>0</c:v>
                </c:pt>
                <c:pt idx="2">
                  <c:v>0.11764705882352941</c:v>
                </c:pt>
                <c:pt idx="3">
                  <c:v>1.7574692442882249E-3</c:v>
                </c:pt>
                <c:pt idx="4">
                  <c:v>0</c:v>
                </c:pt>
                <c:pt idx="5">
                  <c:v>0</c:v>
                </c:pt>
                <c:pt idx="6">
                  <c:v>0</c:v>
                </c:pt>
                <c:pt idx="7">
                  <c:v>3.2786885245901641E-2</c:v>
                </c:pt>
              </c:numCache>
              <c:extLst/>
            </c:numRef>
          </c:val>
          <c:extLst>
            <c:ext xmlns:c16="http://schemas.microsoft.com/office/drawing/2014/chart" uri="{C3380CC4-5D6E-409C-BE32-E72D297353CC}">
              <c16:uniqueId val="{00000001-4585-4206-AD46-5477A52E9E34}"/>
            </c:ext>
          </c:extLst>
        </c:ser>
        <c:dLbls>
          <c:showLegendKey val="0"/>
          <c:showVal val="0"/>
          <c:showCatName val="0"/>
          <c:showSerName val="0"/>
          <c:showPercent val="0"/>
          <c:showBubbleSize val="0"/>
        </c:dLbls>
        <c:gapWidth val="219"/>
        <c:axId val="225811999"/>
        <c:axId val="225812479"/>
      </c:barChart>
      <c:lineChart>
        <c:grouping val="standard"/>
        <c:varyColors val="0"/>
        <c:ser>
          <c:idx val="2"/>
          <c:order val="2"/>
          <c:tx>
            <c:strRef>
              <c:f>'Number of PAs by Insurer Graphs'!$B$57</c:f>
              <c:strCache>
                <c:ptCount val="1"/>
                <c:pt idx="0">
                  <c:v>Physical Health Denied Average</c:v>
                </c:pt>
              </c:strCache>
            </c:strRef>
          </c:tx>
          <c:spPr>
            <a:ln w="19050" cap="rnd">
              <a:solidFill>
                <a:schemeClr val="accent3">
                  <a:lumMod val="40000"/>
                  <a:lumOff val="60000"/>
                </a:schemeClr>
              </a:solidFill>
              <a:prstDash val="dash"/>
              <a:round/>
            </a:ln>
            <a:effectLst/>
          </c:spPr>
          <c:marker>
            <c:symbol val="none"/>
          </c:marker>
          <c:cat>
            <c:strRef>
              <c:f>'Number of PAs by Insurer Graphs'!$C$53:$L$54</c:f>
              <c:strCache>
                <c:ptCount val="8"/>
                <c:pt idx="0">
                  <c:v>BCBSNM</c:v>
                </c:pt>
                <c:pt idx="1">
                  <c:v>Cigna</c:v>
                </c:pt>
                <c:pt idx="2">
                  <c:v>Molina</c:v>
                </c:pt>
                <c:pt idx="3">
                  <c:v>PHP</c:v>
                </c:pt>
                <c:pt idx="4">
                  <c:v>PIC</c:v>
                </c:pt>
                <c:pt idx="5">
                  <c:v>UHCNM</c:v>
                </c:pt>
                <c:pt idx="6">
                  <c:v>UHIC</c:v>
                </c:pt>
                <c:pt idx="7">
                  <c:v>WSCC</c:v>
                </c:pt>
              </c:strCache>
              <c:extLst/>
            </c:strRef>
          </c:cat>
          <c:val>
            <c:numRef>
              <c:f>'Number of PAs by Insurer Graphs'!$C$57:$J$57</c:f>
              <c:numCache>
                <c:formatCode>0.0%</c:formatCode>
                <c:ptCount val="8"/>
                <c:pt idx="0">
                  <c:v>5.4606306147613179E-2</c:v>
                </c:pt>
                <c:pt idx="1">
                  <c:v>5.4606306147613179E-2</c:v>
                </c:pt>
                <c:pt idx="2">
                  <c:v>5.4606306147613179E-2</c:v>
                </c:pt>
                <c:pt idx="3">
                  <c:v>5.4606306147613179E-2</c:v>
                </c:pt>
                <c:pt idx="4">
                  <c:v>5.4606306147613179E-2</c:v>
                </c:pt>
                <c:pt idx="5">
                  <c:v>5.4606306147613179E-2</c:v>
                </c:pt>
                <c:pt idx="6">
                  <c:v>5.4606306147613179E-2</c:v>
                </c:pt>
                <c:pt idx="7">
                  <c:v>5.4606306147613179E-2</c:v>
                </c:pt>
              </c:numCache>
              <c:extLst/>
            </c:numRef>
          </c:val>
          <c:smooth val="0"/>
          <c:extLst>
            <c:ext xmlns:c16="http://schemas.microsoft.com/office/drawing/2014/chart" uri="{C3380CC4-5D6E-409C-BE32-E72D297353CC}">
              <c16:uniqueId val="{00000002-4585-4206-AD46-5477A52E9E34}"/>
            </c:ext>
          </c:extLst>
        </c:ser>
        <c:ser>
          <c:idx val="3"/>
          <c:order val="3"/>
          <c:tx>
            <c:strRef>
              <c:f>'Number of PAs by Insurer Graphs'!$B$58</c:f>
              <c:strCache>
                <c:ptCount val="1"/>
                <c:pt idx="0">
                  <c:v>Mental Health and Substance Use Disorder Treatment Denied Average</c:v>
                </c:pt>
              </c:strCache>
            </c:strRef>
          </c:tx>
          <c:spPr>
            <a:ln w="19050" cap="rnd">
              <a:solidFill>
                <a:schemeClr val="accent4">
                  <a:lumMod val="60000"/>
                  <a:lumOff val="40000"/>
                </a:schemeClr>
              </a:solidFill>
              <a:prstDash val="dash"/>
              <a:round/>
            </a:ln>
            <a:effectLst/>
          </c:spPr>
          <c:marker>
            <c:symbol val="none"/>
          </c:marker>
          <c:cat>
            <c:strRef>
              <c:f>'Number of PAs by Insurer Graphs'!$C$53:$L$54</c:f>
              <c:strCache>
                <c:ptCount val="8"/>
                <c:pt idx="0">
                  <c:v>BCBSNM</c:v>
                </c:pt>
                <c:pt idx="1">
                  <c:v>Cigna</c:v>
                </c:pt>
                <c:pt idx="2">
                  <c:v>Molina</c:v>
                </c:pt>
                <c:pt idx="3">
                  <c:v>PHP</c:v>
                </c:pt>
                <c:pt idx="4">
                  <c:v>PIC</c:v>
                </c:pt>
                <c:pt idx="5">
                  <c:v>UHCNM</c:v>
                </c:pt>
                <c:pt idx="6">
                  <c:v>UHIC</c:v>
                </c:pt>
                <c:pt idx="7">
                  <c:v>WSCC</c:v>
                </c:pt>
              </c:strCache>
              <c:extLst/>
            </c:strRef>
          </c:cat>
          <c:val>
            <c:numRef>
              <c:f>'Number of PAs by Insurer Graphs'!$C$58:$J$58</c:f>
              <c:numCache>
                <c:formatCode>0.0%</c:formatCode>
                <c:ptCount val="8"/>
                <c:pt idx="0">
                  <c:v>9.5238095238095195E-3</c:v>
                </c:pt>
                <c:pt idx="1">
                  <c:v>9.5238095238095247E-3</c:v>
                </c:pt>
                <c:pt idx="2">
                  <c:v>9.5238095238095247E-3</c:v>
                </c:pt>
                <c:pt idx="3">
                  <c:v>9.5238095238095247E-3</c:v>
                </c:pt>
                <c:pt idx="4">
                  <c:v>9.5238095238095247E-3</c:v>
                </c:pt>
                <c:pt idx="5">
                  <c:v>9.5238095238095247E-3</c:v>
                </c:pt>
                <c:pt idx="6">
                  <c:v>9.5238095238095247E-3</c:v>
                </c:pt>
                <c:pt idx="7">
                  <c:v>9.5238095238095247E-3</c:v>
                </c:pt>
              </c:numCache>
              <c:extLst/>
            </c:numRef>
          </c:val>
          <c:smooth val="0"/>
          <c:extLst>
            <c:ext xmlns:c16="http://schemas.microsoft.com/office/drawing/2014/chart" uri="{C3380CC4-5D6E-409C-BE32-E72D297353CC}">
              <c16:uniqueId val="{00000003-4585-4206-AD46-5477A52E9E34}"/>
            </c:ext>
          </c:extLst>
        </c:ser>
        <c:dLbls>
          <c:showLegendKey val="0"/>
          <c:showVal val="0"/>
          <c:showCatName val="0"/>
          <c:showSerName val="0"/>
          <c:showPercent val="0"/>
          <c:showBubbleSize val="0"/>
        </c:dLbls>
        <c:marker val="1"/>
        <c:smooth val="0"/>
        <c:axId val="225811999"/>
        <c:axId val="225812479"/>
      </c:lineChart>
      <c:catAx>
        <c:axId val="225811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812479"/>
        <c:crosses val="autoZero"/>
        <c:auto val="1"/>
        <c:lblAlgn val="ctr"/>
        <c:lblOffset val="100"/>
        <c:noMultiLvlLbl val="0"/>
      </c:catAx>
      <c:valAx>
        <c:axId val="225812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58119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r>
              <a:rPr lang="en-US" sz="1000" b="1">
                <a:latin typeface="Times New Roman" panose="02020603050405020304" pitchFamily="18" charset="0"/>
                <a:cs typeface="Times New Roman" panose="02020603050405020304" pitchFamily="18" charset="0"/>
              </a:rPr>
              <a:t>Figure 7:  Outpatient Denial</a:t>
            </a:r>
            <a:r>
              <a:rPr lang="en-US" sz="1000" b="1" baseline="0">
                <a:latin typeface="Times New Roman" panose="02020603050405020304" pitchFamily="18" charset="0"/>
                <a:cs typeface="Times New Roman" panose="02020603050405020304" pitchFamily="18" charset="0"/>
              </a:rPr>
              <a:t> Rates by Insurer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0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Calendar Year 2023</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6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'Number of PAs by Insurer Graphs'!$B$55</c:f>
              <c:strCache>
                <c:ptCount val="1"/>
                <c:pt idx="0">
                  <c:v>Physical Health Denied</c:v>
                </c:pt>
              </c:strCache>
            </c:strRef>
          </c:tx>
          <c:spPr>
            <a:solidFill>
              <a:schemeClr val="accent1"/>
            </a:solidFill>
            <a:ln>
              <a:noFill/>
            </a:ln>
            <a:effectLst/>
          </c:spPr>
          <c:invertIfNegative val="0"/>
          <c:cat>
            <c:strRef>
              <c:f>'Number of PAs by Insurer Graphs'!$L$53:$S$54</c:f>
              <c:strCache>
                <c:ptCount val="8"/>
                <c:pt idx="0">
                  <c:v>BCBSNM</c:v>
                </c:pt>
                <c:pt idx="1">
                  <c:v>Cigna</c:v>
                </c:pt>
                <c:pt idx="2">
                  <c:v>Molina</c:v>
                </c:pt>
                <c:pt idx="3">
                  <c:v>PHP</c:v>
                </c:pt>
                <c:pt idx="4">
                  <c:v>PIC</c:v>
                </c:pt>
                <c:pt idx="5">
                  <c:v>UHCNM</c:v>
                </c:pt>
                <c:pt idx="6">
                  <c:v>UHIC</c:v>
                </c:pt>
                <c:pt idx="7">
                  <c:v>WSCC</c:v>
                </c:pt>
              </c:strCache>
            </c:strRef>
          </c:cat>
          <c:val>
            <c:numRef>
              <c:f>'Number of PAs by Insurer Graphs'!$L$55:$S$55</c:f>
              <c:numCache>
                <c:formatCode>0%</c:formatCode>
                <c:ptCount val="8"/>
                <c:pt idx="0">
                  <c:v>0.11420286278381046</c:v>
                </c:pt>
                <c:pt idx="1">
                  <c:v>3.4482758620689655E-2</c:v>
                </c:pt>
                <c:pt idx="2">
                  <c:v>0.14753297508549096</c:v>
                </c:pt>
                <c:pt idx="3">
                  <c:v>0.19134491040088675</c:v>
                </c:pt>
                <c:pt idx="4">
                  <c:v>0.22483221476510068</c:v>
                </c:pt>
                <c:pt idx="5">
                  <c:v>0.30952380952380953</c:v>
                </c:pt>
                <c:pt idx="6">
                  <c:v>0.44903581267217629</c:v>
                </c:pt>
                <c:pt idx="7">
                  <c:v>0.21686746987951808</c:v>
                </c:pt>
              </c:numCache>
            </c:numRef>
          </c:val>
          <c:extLst>
            <c:ext xmlns:c16="http://schemas.microsoft.com/office/drawing/2014/chart" uri="{C3380CC4-5D6E-409C-BE32-E72D297353CC}">
              <c16:uniqueId val="{00000000-17AB-429C-B143-901D022D9393}"/>
            </c:ext>
          </c:extLst>
        </c:ser>
        <c:ser>
          <c:idx val="1"/>
          <c:order val="1"/>
          <c:tx>
            <c:strRef>
              <c:f>'Number of PAs by Insurer Graphs'!$B$56</c:f>
              <c:strCache>
                <c:ptCount val="1"/>
                <c:pt idx="0">
                  <c:v>Mental Health and Substance Abuse Denied</c:v>
                </c:pt>
              </c:strCache>
            </c:strRef>
          </c:tx>
          <c:spPr>
            <a:solidFill>
              <a:schemeClr val="accent2"/>
            </a:solidFill>
            <a:ln>
              <a:noFill/>
            </a:ln>
            <a:effectLst/>
          </c:spPr>
          <c:invertIfNegative val="0"/>
          <c:cat>
            <c:strRef>
              <c:f>'Number of PAs by Insurer Graphs'!$L$53:$S$54</c:f>
              <c:strCache>
                <c:ptCount val="8"/>
                <c:pt idx="0">
                  <c:v>BCBSNM</c:v>
                </c:pt>
                <c:pt idx="1">
                  <c:v>Cigna</c:v>
                </c:pt>
                <c:pt idx="2">
                  <c:v>Molina</c:v>
                </c:pt>
                <c:pt idx="3">
                  <c:v>PHP</c:v>
                </c:pt>
                <c:pt idx="4">
                  <c:v>PIC</c:v>
                </c:pt>
                <c:pt idx="5">
                  <c:v>UHCNM</c:v>
                </c:pt>
                <c:pt idx="6">
                  <c:v>UHIC</c:v>
                </c:pt>
                <c:pt idx="7">
                  <c:v>WSCC</c:v>
                </c:pt>
              </c:strCache>
            </c:strRef>
          </c:cat>
          <c:val>
            <c:numRef>
              <c:f>'Number of PAs by Insurer Graphs'!$L$56:$S$56</c:f>
              <c:numCache>
                <c:formatCode>0%</c:formatCode>
                <c:ptCount val="8"/>
                <c:pt idx="0">
                  <c:v>3.5398230088495575E-2</c:v>
                </c:pt>
                <c:pt idx="1">
                  <c:v>0</c:v>
                </c:pt>
                <c:pt idx="2">
                  <c:v>7.3170731707317069E-2</c:v>
                </c:pt>
                <c:pt idx="3">
                  <c:v>0.16379310344827586</c:v>
                </c:pt>
                <c:pt idx="4">
                  <c:v>0</c:v>
                </c:pt>
                <c:pt idx="5">
                  <c:v>0</c:v>
                </c:pt>
                <c:pt idx="6">
                  <c:v>1.9736842105263157E-2</c:v>
                </c:pt>
                <c:pt idx="7">
                  <c:v>7.1428571428571425E-2</c:v>
                </c:pt>
              </c:numCache>
            </c:numRef>
          </c:val>
          <c:extLst>
            <c:ext xmlns:c16="http://schemas.microsoft.com/office/drawing/2014/chart" uri="{C3380CC4-5D6E-409C-BE32-E72D297353CC}">
              <c16:uniqueId val="{00000001-17AB-429C-B143-901D022D9393}"/>
            </c:ext>
          </c:extLst>
        </c:ser>
        <c:dLbls>
          <c:showLegendKey val="0"/>
          <c:showVal val="0"/>
          <c:showCatName val="0"/>
          <c:showSerName val="0"/>
          <c:showPercent val="0"/>
          <c:showBubbleSize val="0"/>
        </c:dLbls>
        <c:gapWidth val="219"/>
        <c:axId val="1631006064"/>
        <c:axId val="1631010384"/>
      </c:barChart>
      <c:lineChart>
        <c:grouping val="standard"/>
        <c:varyColors val="0"/>
        <c:ser>
          <c:idx val="2"/>
          <c:order val="2"/>
          <c:tx>
            <c:strRef>
              <c:f>'Number of PAs by Insurer Graphs'!$B$57</c:f>
              <c:strCache>
                <c:ptCount val="1"/>
                <c:pt idx="0">
                  <c:v>Physical Health Denied Average</c:v>
                </c:pt>
              </c:strCache>
            </c:strRef>
          </c:tx>
          <c:spPr>
            <a:ln w="19050" cap="rnd">
              <a:solidFill>
                <a:schemeClr val="accent3">
                  <a:lumMod val="40000"/>
                  <a:lumOff val="60000"/>
                </a:schemeClr>
              </a:solidFill>
              <a:prstDash val="dash"/>
              <a:round/>
            </a:ln>
            <a:effectLst/>
          </c:spPr>
          <c:marker>
            <c:symbol val="none"/>
          </c:marker>
          <c:cat>
            <c:strRef>
              <c:f>'Number of PAs by Insurer Graphs'!$L$53:$S$54</c:f>
              <c:strCache>
                <c:ptCount val="8"/>
                <c:pt idx="0">
                  <c:v>BCBSNM</c:v>
                </c:pt>
                <c:pt idx="1">
                  <c:v>Cigna</c:v>
                </c:pt>
                <c:pt idx="2">
                  <c:v>Molina</c:v>
                </c:pt>
                <c:pt idx="3">
                  <c:v>PHP</c:v>
                </c:pt>
                <c:pt idx="4">
                  <c:v>PIC</c:v>
                </c:pt>
                <c:pt idx="5">
                  <c:v>UHCNM</c:v>
                </c:pt>
                <c:pt idx="6">
                  <c:v>UHIC</c:v>
                </c:pt>
                <c:pt idx="7">
                  <c:v>WSCC</c:v>
                </c:pt>
              </c:strCache>
            </c:strRef>
          </c:cat>
          <c:val>
            <c:numRef>
              <c:f>'Number of PAs by Insurer Graphs'!$L$57:$S$57</c:f>
              <c:numCache>
                <c:formatCode>0%</c:formatCode>
                <c:ptCount val="8"/>
                <c:pt idx="0">
                  <c:v>0.16298690495995438</c:v>
                </c:pt>
                <c:pt idx="1">
                  <c:v>0.16298690495995438</c:v>
                </c:pt>
                <c:pt idx="2">
                  <c:v>0.16298690495995438</c:v>
                </c:pt>
                <c:pt idx="3">
                  <c:v>0.16298690495995438</c:v>
                </c:pt>
                <c:pt idx="4">
                  <c:v>0.16298690495995438</c:v>
                </c:pt>
                <c:pt idx="5">
                  <c:v>0.16298690495995438</c:v>
                </c:pt>
                <c:pt idx="6">
                  <c:v>0.16298690495995438</c:v>
                </c:pt>
                <c:pt idx="7">
                  <c:v>0.16298690495995438</c:v>
                </c:pt>
              </c:numCache>
            </c:numRef>
          </c:val>
          <c:smooth val="0"/>
          <c:extLst>
            <c:ext xmlns:c16="http://schemas.microsoft.com/office/drawing/2014/chart" uri="{C3380CC4-5D6E-409C-BE32-E72D297353CC}">
              <c16:uniqueId val="{00000002-17AB-429C-B143-901D022D9393}"/>
            </c:ext>
          </c:extLst>
        </c:ser>
        <c:ser>
          <c:idx val="3"/>
          <c:order val="3"/>
          <c:tx>
            <c:strRef>
              <c:f>'Number of PAs by Insurer Graphs'!$B$58</c:f>
              <c:strCache>
                <c:ptCount val="1"/>
                <c:pt idx="0">
                  <c:v>Mental Health Denied Average</c:v>
                </c:pt>
              </c:strCache>
            </c:strRef>
          </c:tx>
          <c:spPr>
            <a:ln w="19050" cap="rnd">
              <a:solidFill>
                <a:schemeClr val="accent4">
                  <a:lumMod val="60000"/>
                  <a:lumOff val="40000"/>
                </a:schemeClr>
              </a:solidFill>
              <a:prstDash val="dash"/>
              <a:round/>
            </a:ln>
            <a:effectLst/>
          </c:spPr>
          <c:marker>
            <c:symbol val="none"/>
          </c:marker>
          <c:cat>
            <c:strRef>
              <c:f>'Number of PAs by Insurer Graphs'!$L$53:$S$54</c:f>
              <c:strCache>
                <c:ptCount val="8"/>
                <c:pt idx="0">
                  <c:v>BCBSNM</c:v>
                </c:pt>
                <c:pt idx="1">
                  <c:v>Cigna</c:v>
                </c:pt>
                <c:pt idx="2">
                  <c:v>Molina</c:v>
                </c:pt>
                <c:pt idx="3">
                  <c:v>PHP</c:v>
                </c:pt>
                <c:pt idx="4">
                  <c:v>PIC</c:v>
                </c:pt>
                <c:pt idx="5">
                  <c:v>UHCNM</c:v>
                </c:pt>
                <c:pt idx="6">
                  <c:v>UHIC</c:v>
                </c:pt>
                <c:pt idx="7">
                  <c:v>WSCC</c:v>
                </c:pt>
              </c:strCache>
            </c:strRef>
          </c:cat>
          <c:val>
            <c:numRef>
              <c:f>'Number of PAs by Insurer Graphs'!$L$58:$S$58</c:f>
              <c:numCache>
                <c:formatCode>0%</c:formatCode>
                <c:ptCount val="8"/>
                <c:pt idx="0">
                  <c:v>7.7694235588972427E-2</c:v>
                </c:pt>
                <c:pt idx="1">
                  <c:v>7.7694235588972399E-2</c:v>
                </c:pt>
                <c:pt idx="2">
                  <c:v>7.7694235588972427E-2</c:v>
                </c:pt>
                <c:pt idx="3">
                  <c:v>7.7694235588972427E-2</c:v>
                </c:pt>
                <c:pt idx="4">
                  <c:v>7.7694235588972427E-2</c:v>
                </c:pt>
                <c:pt idx="5">
                  <c:v>7.7694235588972427E-2</c:v>
                </c:pt>
                <c:pt idx="6">
                  <c:v>7.7694235588972427E-2</c:v>
                </c:pt>
                <c:pt idx="7">
                  <c:v>7.7694235588972427E-2</c:v>
                </c:pt>
              </c:numCache>
            </c:numRef>
          </c:val>
          <c:smooth val="0"/>
          <c:extLst>
            <c:ext xmlns:c16="http://schemas.microsoft.com/office/drawing/2014/chart" uri="{C3380CC4-5D6E-409C-BE32-E72D297353CC}">
              <c16:uniqueId val="{00000003-17AB-429C-B143-901D022D9393}"/>
            </c:ext>
          </c:extLst>
        </c:ser>
        <c:dLbls>
          <c:showLegendKey val="0"/>
          <c:showVal val="0"/>
          <c:showCatName val="0"/>
          <c:showSerName val="0"/>
          <c:showPercent val="0"/>
          <c:showBubbleSize val="0"/>
        </c:dLbls>
        <c:marker val="1"/>
        <c:smooth val="0"/>
        <c:axId val="1631006064"/>
        <c:axId val="1631010384"/>
      </c:lineChart>
      <c:catAx>
        <c:axId val="163100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1010384"/>
        <c:crosses val="autoZero"/>
        <c:auto val="1"/>
        <c:lblAlgn val="ctr"/>
        <c:lblOffset val="100"/>
        <c:noMultiLvlLbl val="0"/>
      </c:catAx>
      <c:valAx>
        <c:axId val="1631010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1006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sz="1000" b="1">
                <a:latin typeface="Times New Roman" panose="02020603050405020304" pitchFamily="18" charset="0"/>
                <a:cs typeface="Times New Roman" panose="02020603050405020304" pitchFamily="18" charset="0"/>
              </a:rPr>
              <a:t>Figure 8:  Pharmacy Denial</a:t>
            </a:r>
            <a:r>
              <a:rPr lang="en-US" sz="1000" b="1" baseline="0">
                <a:latin typeface="Times New Roman" panose="02020603050405020304" pitchFamily="18" charset="0"/>
                <a:cs typeface="Times New Roman" panose="02020603050405020304" pitchFamily="18" charset="0"/>
              </a:rPr>
              <a:t> Rates</a:t>
            </a:r>
          </a:p>
          <a:p>
            <a:pPr>
              <a:defRPr/>
            </a:pPr>
            <a:r>
              <a:rPr lang="en-US" sz="1000" b="1" baseline="0">
                <a:latin typeface="Times New Roman" panose="02020603050405020304" pitchFamily="18" charset="0"/>
                <a:cs typeface="Times New Roman" panose="02020603050405020304" pitchFamily="18" charset="0"/>
              </a:rPr>
              <a:t>Calendar Year 2023</a:t>
            </a:r>
          </a:p>
          <a:p>
            <a:pPr>
              <a:defRPr/>
            </a:pPr>
            <a:endParaRPr lang="en-US" b="1"/>
          </a:p>
        </c:rich>
      </c:tx>
      <c:layout>
        <c:manualLayout>
          <c:xMode val="edge"/>
          <c:yMode val="edge"/>
          <c:x val="0.29293256760787378"/>
          <c:y val="5.8620689655172413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9921643652811114E-2"/>
          <c:y val="0.18458732965928187"/>
          <c:w val="0.87089212273662642"/>
          <c:h val="0.71792677825803008"/>
        </c:manualLayout>
      </c:layout>
      <c:barChart>
        <c:barDir val="col"/>
        <c:grouping val="clustered"/>
        <c:varyColors val="0"/>
        <c:ser>
          <c:idx val="0"/>
          <c:order val="0"/>
          <c:tx>
            <c:strRef>
              <c:f>'Number of PAs by Insurer Graphs'!$B$55</c:f>
              <c:strCache>
                <c:ptCount val="1"/>
                <c:pt idx="0">
                  <c:v>Physical Health Denied</c:v>
                </c:pt>
              </c:strCache>
            </c:strRef>
          </c:tx>
          <c:spPr>
            <a:solidFill>
              <a:schemeClr val="accent1"/>
            </a:solidFill>
            <a:ln>
              <a:noFill/>
            </a:ln>
            <a:effectLst/>
          </c:spPr>
          <c:invertIfNegative val="0"/>
          <c:cat>
            <c:strRef>
              <c:f>'Number of PAs by Insurer Graphs'!$X$53:$AE$54</c:f>
              <c:strCache>
                <c:ptCount val="8"/>
                <c:pt idx="0">
                  <c:v>BCBSNM</c:v>
                </c:pt>
                <c:pt idx="1">
                  <c:v>Cigna</c:v>
                </c:pt>
                <c:pt idx="2">
                  <c:v>Molina</c:v>
                </c:pt>
                <c:pt idx="3">
                  <c:v>PHP</c:v>
                </c:pt>
                <c:pt idx="4">
                  <c:v>PIC</c:v>
                </c:pt>
                <c:pt idx="5">
                  <c:v>UHCNM</c:v>
                </c:pt>
                <c:pt idx="6">
                  <c:v>UHIC</c:v>
                </c:pt>
                <c:pt idx="7">
                  <c:v>WSCC</c:v>
                </c:pt>
              </c:strCache>
            </c:strRef>
          </c:cat>
          <c:val>
            <c:numRef>
              <c:f>'Number of PAs by Insurer Graphs'!$X$55:$AE$55</c:f>
              <c:numCache>
                <c:formatCode>0%</c:formatCode>
                <c:ptCount val="8"/>
                <c:pt idx="0">
                  <c:v>0.42253711201079625</c:v>
                </c:pt>
                <c:pt idx="1">
                  <c:v>0.37037037037037035</c:v>
                </c:pt>
                <c:pt idx="2">
                  <c:v>0.43540183112919634</c:v>
                </c:pt>
                <c:pt idx="3">
                  <c:v>0.56415317804974341</c:v>
                </c:pt>
                <c:pt idx="4">
                  <c:v>0.58992805755395683</c:v>
                </c:pt>
                <c:pt idx="5">
                  <c:v>0.50649350649350644</c:v>
                </c:pt>
                <c:pt idx="6">
                  <c:v>0.44619105199516323</c:v>
                </c:pt>
                <c:pt idx="7">
                  <c:v>0.44862155388471175</c:v>
                </c:pt>
              </c:numCache>
            </c:numRef>
          </c:val>
          <c:extLst>
            <c:ext xmlns:c16="http://schemas.microsoft.com/office/drawing/2014/chart" uri="{C3380CC4-5D6E-409C-BE32-E72D297353CC}">
              <c16:uniqueId val="{00000000-E0E1-4429-AEA2-2B5910FA9109}"/>
            </c:ext>
          </c:extLst>
        </c:ser>
        <c:ser>
          <c:idx val="1"/>
          <c:order val="1"/>
          <c:tx>
            <c:strRef>
              <c:f>'Number of PAs by Insurer Graphs'!$B$56</c:f>
              <c:strCache>
                <c:ptCount val="1"/>
                <c:pt idx="0">
                  <c:v>Mental Health and Substance Use Disorder Treatment Denied</c:v>
                </c:pt>
              </c:strCache>
            </c:strRef>
          </c:tx>
          <c:spPr>
            <a:solidFill>
              <a:schemeClr val="accent2"/>
            </a:solidFill>
            <a:ln>
              <a:noFill/>
            </a:ln>
            <a:effectLst/>
          </c:spPr>
          <c:invertIfNegative val="0"/>
          <c:cat>
            <c:strRef>
              <c:f>'Number of PAs by Insurer Graphs'!$X$53:$AE$54</c:f>
              <c:strCache>
                <c:ptCount val="8"/>
                <c:pt idx="0">
                  <c:v>BCBSNM</c:v>
                </c:pt>
                <c:pt idx="1">
                  <c:v>Cigna</c:v>
                </c:pt>
                <c:pt idx="2">
                  <c:v>Molina</c:v>
                </c:pt>
                <c:pt idx="3">
                  <c:v>PHP</c:v>
                </c:pt>
                <c:pt idx="4">
                  <c:v>PIC</c:v>
                </c:pt>
                <c:pt idx="5">
                  <c:v>UHCNM</c:v>
                </c:pt>
                <c:pt idx="6">
                  <c:v>UHIC</c:v>
                </c:pt>
                <c:pt idx="7">
                  <c:v>WSCC</c:v>
                </c:pt>
              </c:strCache>
            </c:strRef>
          </c:cat>
          <c:val>
            <c:numRef>
              <c:f>'Number of PAs by Insurer Graphs'!$X$56:$AE$56</c:f>
              <c:numCache>
                <c:formatCode>0%</c:formatCode>
                <c:ptCount val="8"/>
                <c:pt idx="0">
                  <c:v>0.69578783151326051</c:v>
                </c:pt>
                <c:pt idx="1">
                  <c:v>0.61538461538461542</c:v>
                </c:pt>
                <c:pt idx="2">
                  <c:v>0.20512820512820512</c:v>
                </c:pt>
                <c:pt idx="3">
                  <c:v>0.54</c:v>
                </c:pt>
                <c:pt idx="4">
                  <c:v>0.48837209302325579</c:v>
                </c:pt>
                <c:pt idx="5">
                  <c:v>0.33333333333333331</c:v>
                </c:pt>
                <c:pt idx="6">
                  <c:v>0.51010101010101006</c:v>
                </c:pt>
                <c:pt idx="7">
                  <c:v>0.26229508196721313</c:v>
                </c:pt>
              </c:numCache>
            </c:numRef>
          </c:val>
          <c:extLst>
            <c:ext xmlns:c16="http://schemas.microsoft.com/office/drawing/2014/chart" uri="{C3380CC4-5D6E-409C-BE32-E72D297353CC}">
              <c16:uniqueId val="{00000001-E0E1-4429-AEA2-2B5910FA9109}"/>
            </c:ext>
          </c:extLst>
        </c:ser>
        <c:dLbls>
          <c:showLegendKey val="0"/>
          <c:showVal val="0"/>
          <c:showCatName val="0"/>
          <c:showSerName val="0"/>
          <c:showPercent val="0"/>
          <c:showBubbleSize val="0"/>
        </c:dLbls>
        <c:gapWidth val="219"/>
        <c:axId val="1745055008"/>
        <c:axId val="1745056448"/>
      </c:barChart>
      <c:lineChart>
        <c:grouping val="standard"/>
        <c:varyColors val="0"/>
        <c:ser>
          <c:idx val="2"/>
          <c:order val="2"/>
          <c:tx>
            <c:strRef>
              <c:f>'Number of PAs by Insurer Graphs'!$B$57</c:f>
              <c:strCache>
                <c:ptCount val="1"/>
                <c:pt idx="0">
                  <c:v>Physical Health Denied Average</c:v>
                </c:pt>
              </c:strCache>
            </c:strRef>
          </c:tx>
          <c:spPr>
            <a:ln w="19050" cap="rnd">
              <a:solidFill>
                <a:schemeClr val="accent3">
                  <a:lumMod val="40000"/>
                  <a:lumOff val="60000"/>
                </a:schemeClr>
              </a:solidFill>
              <a:prstDash val="dash"/>
              <a:round/>
            </a:ln>
            <a:effectLst/>
          </c:spPr>
          <c:marker>
            <c:symbol val="none"/>
          </c:marker>
          <c:cat>
            <c:strRef>
              <c:f>'Number of PAs by Insurer Graphs'!$X$53:$AE$54</c:f>
              <c:strCache>
                <c:ptCount val="8"/>
                <c:pt idx="0">
                  <c:v>BCBSNM</c:v>
                </c:pt>
                <c:pt idx="1">
                  <c:v>Cigna</c:v>
                </c:pt>
                <c:pt idx="2">
                  <c:v>Molina</c:v>
                </c:pt>
                <c:pt idx="3">
                  <c:v>PHP</c:v>
                </c:pt>
                <c:pt idx="4">
                  <c:v>PIC</c:v>
                </c:pt>
                <c:pt idx="5">
                  <c:v>UHCNM</c:v>
                </c:pt>
                <c:pt idx="6">
                  <c:v>UHIC</c:v>
                </c:pt>
                <c:pt idx="7">
                  <c:v>WSCC</c:v>
                </c:pt>
              </c:strCache>
            </c:strRef>
          </c:cat>
          <c:val>
            <c:numRef>
              <c:f>'Number of PAs by Insurer Graphs'!$X$57:$AE$57</c:f>
              <c:numCache>
                <c:formatCode>0.0%</c:formatCode>
                <c:ptCount val="8"/>
                <c:pt idx="0">
                  <c:v>0.46800000000000003</c:v>
                </c:pt>
                <c:pt idx="1">
                  <c:v>0.46800000000000003</c:v>
                </c:pt>
                <c:pt idx="2">
                  <c:v>0.46800000000000003</c:v>
                </c:pt>
                <c:pt idx="3">
                  <c:v>0.46800000000000003</c:v>
                </c:pt>
                <c:pt idx="4">
                  <c:v>0.46800000000000003</c:v>
                </c:pt>
                <c:pt idx="5">
                  <c:v>0.46800000000000003</c:v>
                </c:pt>
                <c:pt idx="6">
                  <c:v>0.46800000000000003</c:v>
                </c:pt>
                <c:pt idx="7">
                  <c:v>0.46800000000000003</c:v>
                </c:pt>
              </c:numCache>
            </c:numRef>
          </c:val>
          <c:smooth val="0"/>
          <c:extLst>
            <c:ext xmlns:c16="http://schemas.microsoft.com/office/drawing/2014/chart" uri="{C3380CC4-5D6E-409C-BE32-E72D297353CC}">
              <c16:uniqueId val="{00000002-E0E1-4429-AEA2-2B5910FA9109}"/>
            </c:ext>
          </c:extLst>
        </c:ser>
        <c:ser>
          <c:idx val="3"/>
          <c:order val="3"/>
          <c:tx>
            <c:strRef>
              <c:f>'Number of PAs by Insurer Graphs'!$B$58</c:f>
              <c:strCache>
                <c:ptCount val="1"/>
                <c:pt idx="0">
                  <c:v>Mental Health and Substance Use Disorder Treatment Denied Average</c:v>
                </c:pt>
              </c:strCache>
            </c:strRef>
          </c:tx>
          <c:spPr>
            <a:ln w="19050" cap="rnd">
              <a:solidFill>
                <a:schemeClr val="accent4">
                  <a:lumMod val="60000"/>
                  <a:lumOff val="40000"/>
                </a:schemeClr>
              </a:solidFill>
              <a:prstDash val="dash"/>
              <a:round/>
            </a:ln>
            <a:effectLst/>
          </c:spPr>
          <c:marker>
            <c:symbol val="none"/>
          </c:marker>
          <c:cat>
            <c:strRef>
              <c:f>'Number of PAs by Insurer Graphs'!$X$53:$AE$54</c:f>
              <c:strCache>
                <c:ptCount val="8"/>
                <c:pt idx="0">
                  <c:v>BCBSNM</c:v>
                </c:pt>
                <c:pt idx="1">
                  <c:v>Cigna</c:v>
                </c:pt>
                <c:pt idx="2">
                  <c:v>Molina</c:v>
                </c:pt>
                <c:pt idx="3">
                  <c:v>PHP</c:v>
                </c:pt>
                <c:pt idx="4">
                  <c:v>PIC</c:v>
                </c:pt>
                <c:pt idx="5">
                  <c:v>UHCNM</c:v>
                </c:pt>
                <c:pt idx="6">
                  <c:v>UHIC</c:v>
                </c:pt>
                <c:pt idx="7">
                  <c:v>WSCC</c:v>
                </c:pt>
              </c:strCache>
            </c:strRef>
          </c:cat>
          <c:val>
            <c:numRef>
              <c:f>'Number of PAs by Insurer Graphs'!$X$58:$AE$58</c:f>
              <c:numCache>
                <c:formatCode>0.0%</c:formatCode>
                <c:ptCount val="8"/>
                <c:pt idx="0">
                  <c:v>0.54768108389786352</c:v>
                </c:pt>
                <c:pt idx="1">
                  <c:v>0.54768108389786352</c:v>
                </c:pt>
                <c:pt idx="2">
                  <c:v>0.54768108389786352</c:v>
                </c:pt>
                <c:pt idx="3">
                  <c:v>0.54768108389786352</c:v>
                </c:pt>
                <c:pt idx="4">
                  <c:v>0.54768108389786352</c:v>
                </c:pt>
                <c:pt idx="5">
                  <c:v>0.54768108389786352</c:v>
                </c:pt>
                <c:pt idx="6">
                  <c:v>0.54768108389786352</c:v>
                </c:pt>
                <c:pt idx="7">
                  <c:v>0.54768108389786352</c:v>
                </c:pt>
              </c:numCache>
            </c:numRef>
          </c:val>
          <c:smooth val="0"/>
          <c:extLst>
            <c:ext xmlns:c16="http://schemas.microsoft.com/office/drawing/2014/chart" uri="{C3380CC4-5D6E-409C-BE32-E72D297353CC}">
              <c16:uniqueId val="{00000003-E0E1-4429-AEA2-2B5910FA9109}"/>
            </c:ext>
          </c:extLst>
        </c:ser>
        <c:dLbls>
          <c:showLegendKey val="0"/>
          <c:showVal val="0"/>
          <c:showCatName val="0"/>
          <c:showSerName val="0"/>
          <c:showPercent val="0"/>
          <c:showBubbleSize val="0"/>
        </c:dLbls>
        <c:marker val="1"/>
        <c:smooth val="0"/>
        <c:axId val="1745055008"/>
        <c:axId val="1745056448"/>
      </c:lineChart>
      <c:catAx>
        <c:axId val="17450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5056448"/>
        <c:crosses val="autoZero"/>
        <c:auto val="1"/>
        <c:lblAlgn val="ctr"/>
        <c:lblOffset val="100"/>
        <c:noMultiLvlLbl val="0"/>
      </c:catAx>
      <c:valAx>
        <c:axId val="1745056448"/>
        <c:scaling>
          <c:orientation val="minMax"/>
          <c:max val="0.7500000000000001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50550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Figure 9:  Recommended Clinical Review (BCBSNM Only)</a:t>
            </a:r>
          </a:p>
          <a:p>
            <a:pPr>
              <a:defRPr/>
            </a:pPr>
            <a:r>
              <a:rPr lang="en-US"/>
              <a:t>September 2023- December 2023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'BCBS RCR'!$H$13</c:f>
              <c:strCache>
                <c:ptCount val="1"/>
                <c:pt idx="0">
                  <c:v>Physical Health Treatment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'BCBS RCR'!$I$12</c:f>
              <c:strCache>
                <c:ptCount val="1"/>
                <c:pt idx="0">
                  <c:v>% Denied</c:v>
                </c:pt>
              </c:strCache>
            </c:strRef>
          </c:cat>
          <c:val>
            <c:numRef>
              <c:f>'BCBS RCR'!$I$13</c:f>
              <c:numCache>
                <c:formatCode>0%</c:formatCode>
                <c:ptCount val="1"/>
                <c:pt idx="0">
                  <c:v>0.11272667864727985</c:v>
                </c:pt>
              </c:numCache>
            </c:numRef>
          </c:val>
          <c:extLst>
            <c:ext xmlns:c16="http://schemas.microsoft.com/office/drawing/2014/chart" uri="{C3380CC4-5D6E-409C-BE32-E72D297353CC}">
              <c16:uniqueId val="{00000000-85DF-4A55-966A-696F3D5A890C}"/>
            </c:ext>
          </c:extLst>
        </c:ser>
        <c:ser>
          <c:idx val="1"/>
          <c:order val="1"/>
          <c:tx>
            <c:strRef>
              <c:f>'BCBS RCR'!$H$14</c:f>
              <c:strCache>
                <c:ptCount val="1"/>
                <c:pt idx="0">
                  <c:v>Mental Health/Substance Use Disorder Treatment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'BCBS RCR'!$I$12</c:f>
              <c:strCache>
                <c:ptCount val="1"/>
                <c:pt idx="0">
                  <c:v>% Denied</c:v>
                </c:pt>
              </c:strCache>
            </c:strRef>
          </c:cat>
          <c:val>
            <c:numRef>
              <c:f>'BCBS RCR'!$I$14</c:f>
              <c:numCache>
                <c:formatCode>0%</c:formatCode>
                <c:ptCount val="1"/>
                <c:pt idx="0">
                  <c:v>4.4444444444444446E-2</c:v>
                </c:pt>
              </c:numCache>
            </c:numRef>
          </c:val>
          <c:extLst>
            <c:ext xmlns:c16="http://schemas.microsoft.com/office/drawing/2014/chart" uri="{C3380CC4-5D6E-409C-BE32-E72D297353CC}">
              <c16:uniqueId val="{00000001-85DF-4A55-966A-696F3D5A890C}"/>
            </c:ext>
          </c:extLst>
        </c:ser>
        <c:dLbls>
          <c:showLegendKey val="0"/>
          <c:showVal val="0"/>
          <c:showCatName val="0"/>
          <c:showSerName val="0"/>
          <c:showPercent val="0"/>
          <c:showBubbleSize val="0"/>
        </c:dLbls>
        <c:gapWidth val="100"/>
        <c:overlap val="-24"/>
        <c:axId val="1519363135"/>
        <c:axId val="1519362655"/>
      </c:barChart>
      <c:catAx>
        <c:axId val="151936313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19362655"/>
        <c:crosses val="autoZero"/>
        <c:auto val="1"/>
        <c:lblAlgn val="ctr"/>
        <c:lblOffset val="100"/>
        <c:noMultiLvlLbl val="0"/>
      </c:catAx>
      <c:valAx>
        <c:axId val="1519362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b="1"/>
                  <a:t>Denial Rate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19363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FFDE9D98C1A641B0D34D7C05939517" ma:contentTypeVersion="14" ma:contentTypeDescription="Create a new document." ma:contentTypeScope="" ma:versionID="f4ed78c4ab6d084c421e18f3c83bef5f">
  <xsd:schema xmlns:xsd="http://www.w3.org/2001/XMLSchema" xmlns:xs="http://www.w3.org/2001/XMLSchema" xmlns:p="http://schemas.microsoft.com/office/2006/metadata/properties" xmlns:ns2="881382e2-d74c-43b7-9a48-6890833eee1e" xmlns:ns3="2af0b001-32bb-46f6-90fa-d1815d4cad1c" targetNamespace="http://schemas.microsoft.com/office/2006/metadata/properties" ma:root="true" ma:fieldsID="9b88ffcd2cc1d16ed9ec386133d3b14d" ns2:_="" ns3:_="">
    <xsd:import namespace="881382e2-d74c-43b7-9a48-6890833eee1e"/>
    <xsd:import namespace="2af0b001-32bb-46f6-90fa-d1815d4cad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382e2-d74c-43b7-9a48-6890833eee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dcca1d-aa7a-4aa4-88bd-88f0d812d4a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0b001-32bb-46f6-90fa-d1815d4cad1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cf2f25a-4c5e-4630-b343-93089850ccad}" ma:internalName="TaxCatchAll" ma:showField="CatchAllData" ma:web="2af0b001-32bb-46f6-90fa-d1815d4cad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2af0b001-32bb-46f6-90fa-d1815d4cad1c" xsi:nil="true"/>
    <lcf76f155ced4ddcb4097134ff3c332f xmlns="881382e2-d74c-43b7-9a48-6890833eee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FDA409-8D14-4C17-A21D-38C2822A4F14}">
  <ds:schemaRefs>
    <ds:schemaRef ds:uri="http://schemas.microsoft.com/sharepoint/v3/contenttype/forms"/>
  </ds:schemaRefs>
</ds:datastoreItem>
</file>

<file path=customXml/itemProps2.xml><?xml version="1.0" encoding="utf-8"?>
<ds:datastoreItem xmlns:ds="http://schemas.openxmlformats.org/officeDocument/2006/customXml" ds:itemID="{9E0950F6-9C86-46A0-89A2-F6E6ED24DD89}"/>
</file>

<file path=customXml/itemProps3.xml><?xml version="1.0" encoding="utf-8"?>
<ds:datastoreItem xmlns:ds="http://schemas.openxmlformats.org/officeDocument/2006/customXml" ds:itemID="{AF146F20-AD21-4E19-B9A7-19E5A21BD11B}">
  <ds:schemaRefs>
    <ds:schemaRef ds:uri="http://schemas.openxmlformats.org/officeDocument/2006/bibliography"/>
  </ds:schemaRefs>
</ds:datastoreItem>
</file>

<file path=customXml/itemProps4.xml><?xml version="1.0" encoding="utf-8"?>
<ds:datastoreItem xmlns:ds="http://schemas.openxmlformats.org/officeDocument/2006/customXml" ds:itemID="{E4FA2255-B770-44F2-B20B-1502A4CBD410}">
  <ds:schemaRefs>
    <ds:schemaRef ds:uri="http://schemas.microsoft.com/office/2006/metadata/properties"/>
    <ds:schemaRef ds:uri="http://schemas.microsoft.com/office/infopath/2007/PartnerControls"/>
    <ds:schemaRef ds:uri="fb9d0e8e-7b19-4554-b9e7-ad739aa98d0a"/>
  </ds:schemaRefs>
</ds:datastoreItem>
</file>

<file path=docMetadata/LabelInfo.xml><?xml version="1.0" encoding="utf-8"?>
<clbl:labelList xmlns:clbl="http://schemas.microsoft.com/office/2020/mipLabelMetadata">
  <clbl:label id="{04aa6bf4-d436-426f-bfa4-04b7a70e60ff}" enabled="0" method="" siteId="{04aa6bf4-d436-426f-bfa4-04b7a70e60ff}" removed="1"/>
</clbl:labelList>
</file>

<file path=docProps/app.xml><?xml version="1.0" encoding="utf-8"?>
<Properties xmlns="http://schemas.openxmlformats.org/officeDocument/2006/extended-properties" xmlns:vt="http://schemas.openxmlformats.org/officeDocument/2006/docPropsVTypes">
  <Template>Letterhead</Template>
  <TotalTime>1</TotalTime>
  <Pages>20</Pages>
  <Words>3808</Words>
  <Characters>21706</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Widler</dc:creator>
  <cp:keywords/>
  <dc:description/>
  <cp:lastModifiedBy>Newell, Brenda, OSI</cp:lastModifiedBy>
  <cp:revision>2</cp:revision>
  <cp:lastPrinted>2025-10-22T15:22:00Z</cp:lastPrinted>
  <dcterms:created xsi:type="dcterms:W3CDTF">2025-10-30T20:24:00Z</dcterms:created>
  <dcterms:modified xsi:type="dcterms:W3CDTF">2025-10-30T20:24:00Z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cc8b58b9984f18381f87b5146d7d7424fb189cbd95cca1d3837f999bb335c62d</vt:lpwstr>
  </property>
  <property fmtid="{D5CDD505-2E9C-101B-9397-08002B2CF9AE}" pid="3" name="ContentTypeId">
    <vt:lpwstr>0x0101002EFFDE9D98C1A641B0D34D7C05939517</vt:lpwstr>
  </property>
</Properties>
</file>